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62616115"/>
        <w:docPartObj>
          <w:docPartGallery w:val="Cover Pages"/>
          <w:docPartUnique/>
        </w:docPartObj>
      </w:sdtPr>
      <w:sdtEndPr>
        <w:rPr>
          <w:rFonts w:ascii="Times New Roman" w:hAnsi="Times New Roman" w:cs="Times New Roman"/>
          <w:b/>
          <w:bCs/>
          <w:smallCaps/>
        </w:rPr>
      </w:sdtEndPr>
      <w:sdtContent>
        <w:p w14:paraId="70A0BDE9" w14:textId="3D8858EA" w:rsidR="0043197A" w:rsidRDefault="0043197A"/>
        <w:p w14:paraId="4A4B452F" w14:textId="4E0FD48C" w:rsidR="0043197A" w:rsidRDefault="00A118B2">
          <w:pPr>
            <w:rPr>
              <w:rFonts w:ascii="Times New Roman" w:hAnsi="Times New Roman" w:cs="Times New Roman"/>
            </w:rPr>
          </w:pPr>
          <w:r w:rsidRPr="00AC1747">
            <w:rPr>
              <w:rFonts w:ascii="Times New Roman" w:hAnsi="Times New Roman" w:cs="Times New Roman"/>
              <w:b/>
              <w:bCs/>
              <w:smallCaps/>
              <w:noProof/>
              <w:lang w:eastAsia="lv-LV"/>
            </w:rPr>
            <w:drawing>
              <wp:anchor distT="0" distB="0" distL="114300" distR="114300" simplePos="0" relativeHeight="251672576" behindDoc="0" locked="0" layoutInCell="1" allowOverlap="1" wp14:anchorId="3E387EA8" wp14:editId="6A76457F">
                <wp:simplePos x="0" y="0"/>
                <wp:positionH relativeFrom="column">
                  <wp:posOffset>4351020</wp:posOffset>
                </wp:positionH>
                <wp:positionV relativeFrom="paragraph">
                  <wp:posOffset>7890510</wp:posOffset>
                </wp:positionV>
                <wp:extent cx="1751330" cy="548640"/>
                <wp:effectExtent l="0" t="0" r="1270" b="3810"/>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33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E06">
            <w:rPr>
              <w:noProof/>
              <w:lang w:eastAsia="lv-LV"/>
            </w:rPr>
            <mc:AlternateContent>
              <mc:Choice Requires="wps">
                <w:drawing>
                  <wp:anchor distT="0" distB="0" distL="114300" distR="114300" simplePos="0" relativeHeight="251667456" behindDoc="0" locked="0" layoutInCell="1" allowOverlap="1" wp14:anchorId="2264A85C" wp14:editId="2EE14F6D">
                    <wp:simplePos x="0" y="0"/>
                    <wp:positionH relativeFrom="page">
                      <wp:posOffset>456565</wp:posOffset>
                    </wp:positionH>
                    <wp:positionV relativeFrom="page">
                      <wp:posOffset>9075420</wp:posOffset>
                    </wp:positionV>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2123952161"/>
                                  <w:showingPlcHdr/>
                                  <w:dataBinding w:prefixMappings="xmlns:ns0='http://purl.org/dc/elements/1.1/' xmlns:ns1='http://schemas.openxmlformats.org/package/2006/metadata/core-properties' " w:xpath="/ns1:coreProperties[1]/ns0:subject[1]" w:storeItemID="{6C3C8BC8-F283-45AE-878A-BAB7291924A1}"/>
                                  <w:text/>
                                </w:sdtPr>
                                <w:sdtEndPr/>
                                <w:sdtContent>
                                  <w:p w14:paraId="62FF7E86" w14:textId="0E0AA1A9" w:rsidR="000039CF" w:rsidRDefault="000039CF">
                                    <w:pPr>
                                      <w:pStyle w:val="NoSpacing"/>
                                      <w:spacing w:before="40" w:after="40"/>
                                      <w:rPr>
                                        <w:caps/>
                                        <w:color w:val="5B9BD5" w:themeColor="accent1"/>
                                        <w:sz w:val="28"/>
                                        <w:szCs w:val="28"/>
                                      </w:rPr>
                                    </w:pPr>
                                    <w:r>
                                      <w:rPr>
                                        <w:caps/>
                                        <w:color w:val="5B9BD5" w:themeColor="accent1"/>
                                        <w:sz w:val="28"/>
                                        <w:szCs w:val="28"/>
                                      </w:rPr>
                                      <w:t xml:space="preserve">     </w:t>
                                    </w:r>
                                  </w:p>
                                </w:sdtContent>
                              </w:sdt>
                              <w:p w14:paraId="7EA5C4B3" w14:textId="775F0883" w:rsidR="000039CF" w:rsidRPr="0043197A" w:rsidRDefault="000039CF">
                                <w:pPr>
                                  <w:pStyle w:val="NoSpacing"/>
                                  <w:spacing w:before="40" w:after="40"/>
                                  <w:rPr>
                                    <w:rFonts w:ascii="Times New Roman" w:hAnsi="Times New Roman" w:cs="Times New Roman"/>
                                    <w:b/>
                                    <w:caps/>
                                    <w:sz w:val="28"/>
                                    <w:szCs w:val="24"/>
                                  </w:rPr>
                                </w:pPr>
                                <w:r>
                                  <w:rPr>
                                    <w:rFonts w:ascii="Times New Roman" w:hAnsi="Times New Roman" w:cs="Times New Roman"/>
                                    <w:b/>
                                    <w:caps/>
                                    <w:sz w:val="28"/>
                                    <w:szCs w:val="24"/>
                                  </w:rPr>
                                  <w:t>Rīga, 2015</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5="http://schemas.microsoft.com/office/word/2012/wordml">
                <w:pict>
                  <v:shapetype w14:anchorId="2264A85C" id="_x0000_t202" coordsize="21600,21600" o:spt="202" path="m,l,21600r21600,l21600,xe">
                    <v:stroke joinstyle="miter"/>
                    <v:path gradientshapeok="t" o:connecttype="rect"/>
                  </v:shapetype>
                  <v:shape id="Text Box 129" o:spid="_x0000_s1026" type="#_x0000_t202" style="position:absolute;margin-left:35.95pt;margin-top:714.6pt;width:453pt;height:38.15pt;z-index:251667456;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4pgQIAAGE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" filled="f" stroked="f" strokeweight=".5pt">
                    <v:textbox style="mso-fit-shape-to-text:t" inset="1in,0,86.4pt,0">
                      <w:txbxContent>
                        <w:sdt>
                          <w:sdtPr>
                            <w:rPr>
                              <w:caps/>
                              <w:color w:val="5B9BD5" w:themeColor="accent1"/>
                              <w:sz w:val="28"/>
                              <w:szCs w:val="28"/>
                            </w:rPr>
                            <w:alias w:val="Subtitle"/>
                            <w:tag w:val=""/>
                            <w:id w:val="2123952161"/>
                            <w:showingPlcHdr/>
                            <w:dataBinding w:prefixMappings="xmlns:ns0='http://purl.org/dc/elements/1.1/' xmlns:ns1='http://schemas.openxmlformats.org/package/2006/metadata/core-properties' " w:xpath="/ns1:coreProperties[1]/ns0:subject[1]" w:storeItemID="{6C3C8BC8-F283-45AE-878A-BAB7291924A1}"/>
                            <w:text/>
                          </w:sdtPr>
                          <w:sdtContent>
                            <w:p w14:paraId="62FF7E86" w14:textId="0E0AA1A9" w:rsidR="000039CF" w:rsidRDefault="000039CF">
                              <w:pPr>
                                <w:pStyle w:val="NoSpacing"/>
                                <w:spacing w:before="40" w:after="40"/>
                                <w:rPr>
                                  <w:caps/>
                                  <w:color w:val="5B9BD5" w:themeColor="accent1"/>
                                  <w:sz w:val="28"/>
                                  <w:szCs w:val="28"/>
                                </w:rPr>
                              </w:pPr>
                              <w:r>
                                <w:rPr>
                                  <w:caps/>
                                  <w:color w:val="5B9BD5" w:themeColor="accent1"/>
                                  <w:sz w:val="28"/>
                                  <w:szCs w:val="28"/>
                                </w:rPr>
                                <w:t xml:space="preserve">     </w:t>
                              </w:r>
                            </w:p>
                          </w:sdtContent>
                        </w:sdt>
                        <w:p w14:paraId="7EA5C4B3" w14:textId="775F0883" w:rsidR="000039CF" w:rsidRPr="0043197A" w:rsidRDefault="000039CF">
                          <w:pPr>
                            <w:pStyle w:val="NoSpacing"/>
                            <w:spacing w:before="40" w:after="40"/>
                            <w:rPr>
                              <w:rFonts w:ascii="Times New Roman" w:hAnsi="Times New Roman" w:cs="Times New Roman"/>
                              <w:b/>
                              <w:caps/>
                              <w:sz w:val="28"/>
                              <w:szCs w:val="24"/>
                            </w:rPr>
                          </w:pPr>
                          <w:r>
                            <w:rPr>
                              <w:rFonts w:ascii="Times New Roman" w:hAnsi="Times New Roman" w:cs="Times New Roman"/>
                              <w:b/>
                              <w:caps/>
                              <w:sz w:val="28"/>
                              <w:szCs w:val="24"/>
                            </w:rPr>
                            <w:t>Rīga, 2015</w:t>
                          </w:r>
                        </w:p>
                      </w:txbxContent>
                    </v:textbox>
                    <w10:wrap type="square" anchorx="page" anchory="page"/>
                  </v:shape>
                </w:pict>
              </mc:Fallback>
            </mc:AlternateContent>
          </w:r>
          <w:r w:rsidR="0043197A">
            <w:rPr>
              <w:noProof/>
              <w:lang w:eastAsia="lv-LV"/>
            </w:rPr>
            <mc:AlternateContent>
              <mc:Choice Requires="wpg">
                <w:drawing>
                  <wp:anchor distT="0" distB="0" distL="114300" distR="114300" simplePos="0" relativeHeight="251665408" behindDoc="1" locked="0" layoutInCell="1" allowOverlap="1" wp14:anchorId="35175D44" wp14:editId="5FDF526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4AA037A" w14:textId="03BAF1E7" w:rsidR="000039CF" w:rsidRPr="0043197A" w:rsidRDefault="00FE657D" w:rsidP="0043197A">
                                  <w:pPr>
                                    <w:rPr>
                                      <w:rFonts w:ascii="Times New Roman" w:hAnsi="Times New Roman" w:cs="Times New Roman"/>
                                      <w:color w:val="FFFFFF" w:themeColor="background1"/>
                                      <w:sz w:val="72"/>
                                      <w:szCs w:val="72"/>
                                    </w:rPr>
                                  </w:pPr>
                                  <w:sdt>
                                    <w:sdtPr>
                                      <w:rPr>
                                        <w:rFonts w:ascii="Times New Roman" w:hAnsi="Times New Roman" w:cs="Times New Roman"/>
                                        <w:color w:val="FFFFFF" w:themeColor="background1"/>
                                        <w:sz w:val="72"/>
                                        <w:szCs w:val="72"/>
                                      </w:rPr>
                                      <w:alias w:val="Title"/>
                                      <w:tag w:val=""/>
                                      <w:id w:val="363876279"/>
                                      <w:dataBinding w:prefixMappings="xmlns:ns0='http://purl.org/dc/elements/1.1/' xmlns:ns1='http://schemas.openxmlformats.org/package/2006/metadata/core-properties' " w:xpath="/ns1:coreProperties[1]/ns0:title[1]" w:storeItemID="{6C3C8BC8-F283-45AE-878A-BAB7291924A1}"/>
                                      <w:text/>
                                    </w:sdtPr>
                                    <w:sdtEndPr/>
                                    <w:sdtContent>
                                      <w:r w:rsidR="000039CF" w:rsidRPr="0043197A">
                                        <w:rPr>
                                          <w:rFonts w:ascii="Times New Roman" w:hAnsi="Times New Roman" w:cs="Times New Roman"/>
                                          <w:color w:val="FFFFFF" w:themeColor="background1"/>
                                          <w:sz w:val="72"/>
                                          <w:szCs w:val="72"/>
                                        </w:rPr>
                                        <w:t xml:space="preserve">Latvijas Stabilitātes programma             </w:t>
                                      </w:r>
                                      <w:r w:rsidR="000039CF">
                                        <w:rPr>
                                          <w:rFonts w:ascii="Times New Roman" w:hAnsi="Times New Roman" w:cs="Times New Roman"/>
                                          <w:color w:val="FFFFFF" w:themeColor="background1"/>
                                          <w:sz w:val="72"/>
                                          <w:szCs w:val="72"/>
                                        </w:rPr>
                                        <w:t xml:space="preserve"> </w:t>
                                      </w:r>
                                      <w:r w:rsidR="000039CF" w:rsidRPr="0043197A">
                                        <w:rPr>
                                          <w:rFonts w:ascii="Times New Roman" w:hAnsi="Times New Roman" w:cs="Times New Roman"/>
                                          <w:color w:val="FFFFFF" w:themeColor="background1"/>
                                          <w:sz w:val="72"/>
                                          <w:szCs w:val="72"/>
                                        </w:rPr>
                                        <w:t>2015.-2018.gadam</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35175D44" id="Group 125" o:spid="_x0000_s1027" style="position:absolute;margin-left:0;margin-top:0;width:540pt;height:556.55pt;z-index:-25165107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44AA037A" w14:textId="03BAF1E7" w:rsidR="000039CF" w:rsidRPr="0043197A" w:rsidRDefault="000039CF" w:rsidP="0043197A">
                            <w:pPr>
                              <w:rPr>
                                <w:rFonts w:ascii="Times New Roman" w:hAnsi="Times New Roman" w:cs="Times New Roman"/>
                                <w:color w:val="FFFFFF" w:themeColor="background1"/>
                                <w:sz w:val="72"/>
                                <w:szCs w:val="72"/>
                              </w:rPr>
                            </w:pPr>
                            <w:sdt>
                              <w:sdtPr>
                                <w:rPr>
                                  <w:rFonts w:ascii="Times New Roman" w:hAnsi="Times New Roman" w:cs="Times New Roman"/>
                                  <w:color w:val="FFFFFF" w:themeColor="background1"/>
                                  <w:sz w:val="72"/>
                                  <w:szCs w:val="72"/>
                                </w:rPr>
                                <w:alias w:val="Title"/>
                                <w:tag w:val=""/>
                                <w:id w:val="363876279"/>
                                <w:dataBinding w:prefixMappings="xmlns:ns0='http://purl.org/dc/elements/1.1/' xmlns:ns1='http://schemas.openxmlformats.org/package/2006/metadata/core-properties' " w:xpath="/ns1:coreProperties[1]/ns0:title[1]" w:storeItemID="{6C3C8BC8-F283-45AE-878A-BAB7291924A1}"/>
                                <w:text/>
                              </w:sdtPr>
                              <w:sdtContent>
                                <w:r w:rsidRPr="0043197A">
                                  <w:rPr>
                                    <w:rFonts w:ascii="Times New Roman" w:hAnsi="Times New Roman" w:cs="Times New Roman"/>
                                    <w:color w:val="FFFFFF" w:themeColor="background1"/>
                                    <w:sz w:val="72"/>
                                    <w:szCs w:val="72"/>
                                  </w:rPr>
                                  <w:t xml:space="preserve">Latvijas Stabilitātes programma             </w:t>
                                </w:r>
                                <w:r>
                                  <w:rPr>
                                    <w:rFonts w:ascii="Times New Roman" w:hAnsi="Times New Roman" w:cs="Times New Roman"/>
                                    <w:color w:val="FFFFFF" w:themeColor="background1"/>
                                    <w:sz w:val="72"/>
                                    <w:szCs w:val="72"/>
                                  </w:rPr>
                                  <w:t xml:space="preserve"> </w:t>
                                </w:r>
                                <w:r w:rsidRPr="0043197A">
                                  <w:rPr>
                                    <w:rFonts w:ascii="Times New Roman" w:hAnsi="Times New Roman" w:cs="Times New Roman"/>
                                    <w:color w:val="FFFFFF" w:themeColor="background1"/>
                                    <w:sz w:val="72"/>
                                    <w:szCs w:val="72"/>
                                  </w:rPr>
                                  <w:t>2015.-2018.gadam</w:t>
                                </w:r>
                              </w:sdtContent>
                            </w:sdt>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43197A">
            <w:rPr>
              <w:noProof/>
              <w:lang w:eastAsia="lv-LV"/>
            </w:rPr>
            <mc:AlternateContent>
              <mc:Choice Requires="wps">
                <w:drawing>
                  <wp:anchor distT="0" distB="0" distL="114300" distR="114300" simplePos="0" relativeHeight="251666432" behindDoc="0" locked="0" layoutInCell="1" allowOverlap="1" wp14:anchorId="0CBECC4A" wp14:editId="1568B75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4"/>
                                    <w:szCs w:val="24"/>
                                  </w:rPr>
                                  <w:alias w:val="Year"/>
                                  <w:tag w:val=""/>
                                  <w:id w:val="-571654576"/>
                                  <w:dataBinding w:prefixMappings="xmlns:ns0='http://schemas.microsoft.com/office/2006/coverPageProps' " w:xpath="/ns0:CoverPageProperties[1]/ns0:PublishDate[1]" w:storeItemID="{55AF091B-3C7A-41E3-B477-F2FDAA23CFDA}"/>
                                  <w:date w:fullDate="2015-01-01T00:00:00Z">
                                    <w:dateFormat w:val="yyyy"/>
                                    <w:lid w:val="en-US"/>
                                    <w:storeMappedDataAs w:val="dateTime"/>
                                    <w:calendar w:val="gregorian"/>
                                  </w:date>
                                </w:sdtPr>
                                <w:sdtEndPr/>
                                <w:sdtContent>
                                  <w:p w14:paraId="6FD9D2D5" w14:textId="4F72274E" w:rsidR="000039CF" w:rsidRDefault="000039CF">
                                    <w:pPr>
                                      <w:pStyle w:val="NoSpacing"/>
                                      <w:jc w:val="right"/>
                                      <w:rPr>
                                        <w:color w:val="FFFFFF" w:themeColor="background1"/>
                                        <w:sz w:val="24"/>
                                        <w:szCs w:val="24"/>
                                      </w:rPr>
                                    </w:pPr>
                                    <w:r w:rsidRPr="002E7E06">
                                      <w:rPr>
                                        <w:rFonts w:ascii="Times New Roman" w:hAnsi="Times New Roman" w:cs="Times New Roman"/>
                                        <w:color w:val="FFFFFF" w:themeColor="background1"/>
                                        <w:sz w:val="24"/>
                                        <w:szCs w:val="24"/>
                                        <w:lang w:val="en-US"/>
                                      </w:rPr>
                                      <w:t>2015</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5="http://schemas.microsoft.com/office/word/2012/wordml">
                <w:pict>
                  <v:rect w14:anchorId="0CBECC4A" id="Rectangle 130" o:spid="_x0000_s1030" style="position:absolute;margin-left:-4.4pt;margin-top:0;width:46.8pt;height:77.75pt;z-index:25166643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rFonts w:ascii="Times New Roman" w:hAnsi="Times New Roman" w:cs="Times New Roman"/>
                              <w:color w:val="FFFFFF" w:themeColor="background1"/>
                              <w:sz w:val="24"/>
                              <w:szCs w:val="24"/>
                            </w:rPr>
                            <w:alias w:val="Year"/>
                            <w:tag w:val=""/>
                            <w:id w:val="-571654576"/>
                            <w:dataBinding w:prefixMappings="xmlns:ns0='http://schemas.microsoft.com/office/2006/coverPageProps' " w:xpath="/ns0:CoverPageProperties[1]/ns0:PublishDate[1]" w:storeItemID="{55AF091B-3C7A-41E3-B477-F2FDAA23CFDA}"/>
                            <w:date w:fullDate="2015-01-01T00:00:00Z">
                              <w:dateFormat w:val="yyyy"/>
                              <w:lid w:val="en-US"/>
                              <w:storeMappedDataAs w:val="dateTime"/>
                              <w:calendar w:val="gregorian"/>
                            </w:date>
                          </w:sdtPr>
                          <w:sdtContent>
                            <w:p w14:paraId="6FD9D2D5" w14:textId="4F72274E" w:rsidR="000039CF" w:rsidRDefault="000039CF">
                              <w:pPr>
                                <w:pStyle w:val="NoSpacing"/>
                                <w:jc w:val="right"/>
                                <w:rPr>
                                  <w:color w:val="FFFFFF" w:themeColor="background1"/>
                                  <w:sz w:val="24"/>
                                  <w:szCs w:val="24"/>
                                </w:rPr>
                              </w:pPr>
                              <w:r w:rsidRPr="002E7E06">
                                <w:rPr>
                                  <w:rFonts w:ascii="Times New Roman" w:hAnsi="Times New Roman" w:cs="Times New Roman"/>
                                  <w:color w:val="FFFFFF" w:themeColor="background1"/>
                                  <w:sz w:val="24"/>
                                  <w:szCs w:val="24"/>
                                  <w:lang w:val="en-US"/>
                                </w:rPr>
                                <w:t>2015</w:t>
                              </w:r>
                            </w:p>
                          </w:sdtContent>
                        </w:sdt>
                      </w:txbxContent>
                    </v:textbox>
                    <w10:wrap anchorx="margin" anchory="page"/>
                  </v:rect>
                </w:pict>
              </mc:Fallback>
            </mc:AlternateContent>
          </w:r>
          <w:r w:rsidR="0043197A">
            <w:rPr>
              <w:rFonts w:ascii="Times New Roman" w:hAnsi="Times New Roman" w:cs="Times New Roman"/>
              <w:b/>
              <w:bCs/>
              <w:smallCaps/>
            </w:rPr>
            <w:br w:type="page"/>
          </w:r>
        </w:p>
      </w:sdtContent>
    </w:sdt>
    <w:sdt>
      <w:sdtPr>
        <w:rPr>
          <w:rFonts w:asciiTheme="minorHAnsi" w:eastAsiaTheme="minorEastAsia" w:hAnsiTheme="minorHAnsi" w:cstheme="minorBidi"/>
          <w:b w:val="0"/>
          <w:bCs w:val="0"/>
          <w:smallCaps w:val="0"/>
          <w:color w:val="auto"/>
          <w:sz w:val="22"/>
          <w:szCs w:val="22"/>
        </w:rPr>
        <w:id w:val="423391642"/>
        <w:docPartObj>
          <w:docPartGallery w:val="Table of Contents"/>
          <w:docPartUnique/>
        </w:docPartObj>
      </w:sdtPr>
      <w:sdtEndPr>
        <w:rPr>
          <w:noProof/>
        </w:rPr>
      </w:sdtEndPr>
      <w:sdtContent>
        <w:p w14:paraId="0CE20A28" w14:textId="4F42A1F0" w:rsidR="00551458" w:rsidRDefault="00551458" w:rsidP="00551458">
          <w:pPr>
            <w:pStyle w:val="TOCHeading"/>
            <w:numPr>
              <w:ilvl w:val="0"/>
              <w:numId w:val="0"/>
            </w:numPr>
            <w:ind w:left="432"/>
            <w:jc w:val="center"/>
            <w:rPr>
              <w:rFonts w:ascii="Times New Roman" w:hAnsi="Times New Roman" w:cs="Times New Roman"/>
            </w:rPr>
          </w:pPr>
          <w:r w:rsidRPr="00551458">
            <w:rPr>
              <w:rFonts w:ascii="Times New Roman" w:hAnsi="Times New Roman" w:cs="Times New Roman"/>
            </w:rPr>
            <w:t>SATURS</w:t>
          </w:r>
        </w:p>
        <w:p w14:paraId="56AC6431" w14:textId="77777777" w:rsidR="00551458" w:rsidRPr="00551458" w:rsidRDefault="00551458" w:rsidP="00551458"/>
        <w:p w14:paraId="03979972" w14:textId="77777777" w:rsidR="00A35E0B" w:rsidRDefault="00551458">
          <w:pPr>
            <w:pStyle w:val="TOC1"/>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416279061" w:history="1">
            <w:r w:rsidR="00A35E0B" w:rsidRPr="00F72A4D">
              <w:rPr>
                <w:rStyle w:val="Hyperlink"/>
                <w:rFonts w:eastAsiaTheme="majorEastAsia"/>
                <w:noProof/>
              </w:rPr>
              <w:t>1.</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Vispārējās ekonomiskās politikas vadlīnijas un mērķi</w:t>
            </w:r>
            <w:r w:rsidR="00A35E0B">
              <w:rPr>
                <w:noProof/>
                <w:webHidden/>
              </w:rPr>
              <w:tab/>
            </w:r>
            <w:r w:rsidR="00A35E0B">
              <w:rPr>
                <w:noProof/>
                <w:webHidden/>
              </w:rPr>
              <w:fldChar w:fldCharType="begin"/>
            </w:r>
            <w:r w:rsidR="00A35E0B">
              <w:rPr>
                <w:noProof/>
                <w:webHidden/>
              </w:rPr>
              <w:instrText xml:space="preserve"> PAGEREF _Toc416279061 \h </w:instrText>
            </w:r>
            <w:r w:rsidR="00A35E0B">
              <w:rPr>
                <w:noProof/>
                <w:webHidden/>
              </w:rPr>
            </w:r>
            <w:r w:rsidR="00A35E0B">
              <w:rPr>
                <w:noProof/>
                <w:webHidden/>
              </w:rPr>
              <w:fldChar w:fldCharType="separate"/>
            </w:r>
            <w:r w:rsidR="00EC224A">
              <w:rPr>
                <w:noProof/>
                <w:webHidden/>
              </w:rPr>
              <w:t>5</w:t>
            </w:r>
            <w:r w:rsidR="00A35E0B">
              <w:rPr>
                <w:noProof/>
                <w:webHidden/>
              </w:rPr>
              <w:fldChar w:fldCharType="end"/>
            </w:r>
          </w:hyperlink>
        </w:p>
        <w:p w14:paraId="69E6696D" w14:textId="77777777" w:rsidR="00A35E0B" w:rsidRDefault="00FE657D">
          <w:pPr>
            <w:pStyle w:val="TOC1"/>
            <w:rPr>
              <w:rFonts w:asciiTheme="minorHAnsi" w:eastAsiaTheme="minorEastAsia" w:hAnsiTheme="minorHAnsi" w:cstheme="minorBidi"/>
              <w:noProof/>
              <w:sz w:val="22"/>
              <w:szCs w:val="22"/>
              <w:lang w:eastAsia="lv-LV"/>
            </w:rPr>
          </w:pPr>
          <w:hyperlink w:anchor="_Toc416279062" w:history="1">
            <w:r w:rsidR="00A35E0B" w:rsidRPr="00F72A4D">
              <w:rPr>
                <w:rStyle w:val="Hyperlink"/>
                <w:rFonts w:eastAsiaTheme="majorEastAsia"/>
                <w:noProof/>
              </w:rPr>
              <w:t>2.</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Ekonomiskā situācija</w:t>
            </w:r>
            <w:r w:rsidR="00A35E0B">
              <w:rPr>
                <w:noProof/>
                <w:webHidden/>
              </w:rPr>
              <w:tab/>
            </w:r>
            <w:r w:rsidR="00A35E0B">
              <w:rPr>
                <w:noProof/>
                <w:webHidden/>
              </w:rPr>
              <w:fldChar w:fldCharType="begin"/>
            </w:r>
            <w:r w:rsidR="00A35E0B">
              <w:rPr>
                <w:noProof/>
                <w:webHidden/>
              </w:rPr>
              <w:instrText xml:space="preserve"> PAGEREF _Toc416279062 \h </w:instrText>
            </w:r>
            <w:r w:rsidR="00A35E0B">
              <w:rPr>
                <w:noProof/>
                <w:webHidden/>
              </w:rPr>
            </w:r>
            <w:r w:rsidR="00A35E0B">
              <w:rPr>
                <w:noProof/>
                <w:webHidden/>
              </w:rPr>
              <w:fldChar w:fldCharType="separate"/>
            </w:r>
            <w:r w:rsidR="00EC224A">
              <w:rPr>
                <w:noProof/>
                <w:webHidden/>
              </w:rPr>
              <w:t>7</w:t>
            </w:r>
            <w:r w:rsidR="00A35E0B">
              <w:rPr>
                <w:noProof/>
                <w:webHidden/>
              </w:rPr>
              <w:fldChar w:fldCharType="end"/>
            </w:r>
          </w:hyperlink>
        </w:p>
        <w:p w14:paraId="47677195"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63" w:history="1">
            <w:r w:rsidR="00A35E0B" w:rsidRPr="00F72A4D">
              <w:rPr>
                <w:rStyle w:val="Hyperlink"/>
                <w:rFonts w:eastAsiaTheme="majorEastAsia"/>
                <w:noProof/>
              </w:rPr>
              <w:t>2.1.</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Ārējā ekonomiskā vide</w:t>
            </w:r>
            <w:r w:rsidR="00A35E0B">
              <w:rPr>
                <w:noProof/>
                <w:webHidden/>
              </w:rPr>
              <w:tab/>
            </w:r>
            <w:r w:rsidR="00A35E0B">
              <w:rPr>
                <w:noProof/>
                <w:webHidden/>
              </w:rPr>
              <w:fldChar w:fldCharType="begin"/>
            </w:r>
            <w:r w:rsidR="00A35E0B">
              <w:rPr>
                <w:noProof/>
                <w:webHidden/>
              </w:rPr>
              <w:instrText xml:space="preserve"> PAGEREF _Toc416279063 \h </w:instrText>
            </w:r>
            <w:r w:rsidR="00A35E0B">
              <w:rPr>
                <w:noProof/>
                <w:webHidden/>
              </w:rPr>
            </w:r>
            <w:r w:rsidR="00A35E0B">
              <w:rPr>
                <w:noProof/>
                <w:webHidden/>
              </w:rPr>
              <w:fldChar w:fldCharType="separate"/>
            </w:r>
            <w:r w:rsidR="00EC224A">
              <w:rPr>
                <w:noProof/>
                <w:webHidden/>
              </w:rPr>
              <w:t>7</w:t>
            </w:r>
            <w:r w:rsidR="00A35E0B">
              <w:rPr>
                <w:noProof/>
                <w:webHidden/>
              </w:rPr>
              <w:fldChar w:fldCharType="end"/>
            </w:r>
          </w:hyperlink>
        </w:p>
        <w:p w14:paraId="667D4C0D"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64" w:history="1">
            <w:r w:rsidR="00A35E0B" w:rsidRPr="00F72A4D">
              <w:rPr>
                <w:rStyle w:val="Hyperlink"/>
                <w:rFonts w:eastAsiaTheme="majorEastAsia"/>
                <w:noProof/>
              </w:rPr>
              <w:t>2.2.</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Pašreizējā ekonomiskā situācija</w:t>
            </w:r>
            <w:r w:rsidR="00A35E0B">
              <w:rPr>
                <w:noProof/>
                <w:webHidden/>
              </w:rPr>
              <w:tab/>
            </w:r>
            <w:r w:rsidR="00A35E0B">
              <w:rPr>
                <w:noProof/>
                <w:webHidden/>
              </w:rPr>
              <w:fldChar w:fldCharType="begin"/>
            </w:r>
            <w:r w:rsidR="00A35E0B">
              <w:rPr>
                <w:noProof/>
                <w:webHidden/>
              </w:rPr>
              <w:instrText xml:space="preserve"> PAGEREF _Toc416279064 \h </w:instrText>
            </w:r>
            <w:r w:rsidR="00A35E0B">
              <w:rPr>
                <w:noProof/>
                <w:webHidden/>
              </w:rPr>
            </w:r>
            <w:r w:rsidR="00A35E0B">
              <w:rPr>
                <w:noProof/>
                <w:webHidden/>
              </w:rPr>
              <w:fldChar w:fldCharType="separate"/>
            </w:r>
            <w:r w:rsidR="00EC224A">
              <w:rPr>
                <w:noProof/>
                <w:webHidden/>
              </w:rPr>
              <w:t>9</w:t>
            </w:r>
            <w:r w:rsidR="00A35E0B">
              <w:rPr>
                <w:noProof/>
                <w:webHidden/>
              </w:rPr>
              <w:fldChar w:fldCharType="end"/>
            </w:r>
          </w:hyperlink>
        </w:p>
        <w:p w14:paraId="6FDB7047"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65" w:history="1">
            <w:r w:rsidR="00A35E0B" w:rsidRPr="00F72A4D">
              <w:rPr>
                <w:rStyle w:val="Hyperlink"/>
                <w:rFonts w:eastAsiaTheme="majorEastAsia"/>
                <w:noProof/>
              </w:rPr>
              <w:t>2.3.</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Makroekonomiskās attīstības scenārijs</w:t>
            </w:r>
            <w:r w:rsidR="00A35E0B">
              <w:rPr>
                <w:noProof/>
                <w:webHidden/>
              </w:rPr>
              <w:tab/>
            </w:r>
            <w:r w:rsidR="00A35E0B">
              <w:rPr>
                <w:noProof/>
                <w:webHidden/>
              </w:rPr>
              <w:fldChar w:fldCharType="begin"/>
            </w:r>
            <w:r w:rsidR="00A35E0B">
              <w:rPr>
                <w:noProof/>
                <w:webHidden/>
              </w:rPr>
              <w:instrText xml:space="preserve"> PAGEREF _Toc416279065 \h </w:instrText>
            </w:r>
            <w:r w:rsidR="00A35E0B">
              <w:rPr>
                <w:noProof/>
                <w:webHidden/>
              </w:rPr>
            </w:r>
            <w:r w:rsidR="00A35E0B">
              <w:rPr>
                <w:noProof/>
                <w:webHidden/>
              </w:rPr>
              <w:fldChar w:fldCharType="separate"/>
            </w:r>
            <w:r w:rsidR="00EC224A">
              <w:rPr>
                <w:noProof/>
                <w:webHidden/>
              </w:rPr>
              <w:t>12</w:t>
            </w:r>
            <w:r w:rsidR="00A35E0B">
              <w:rPr>
                <w:noProof/>
                <w:webHidden/>
              </w:rPr>
              <w:fldChar w:fldCharType="end"/>
            </w:r>
          </w:hyperlink>
        </w:p>
        <w:p w14:paraId="506F40AA" w14:textId="77777777" w:rsidR="00A35E0B" w:rsidRDefault="00FE657D">
          <w:pPr>
            <w:pStyle w:val="TOC1"/>
            <w:rPr>
              <w:rFonts w:asciiTheme="minorHAnsi" w:eastAsiaTheme="minorEastAsia" w:hAnsiTheme="minorHAnsi" w:cstheme="minorBidi"/>
              <w:noProof/>
              <w:sz w:val="22"/>
              <w:szCs w:val="22"/>
              <w:lang w:eastAsia="lv-LV"/>
            </w:rPr>
          </w:pPr>
          <w:hyperlink w:anchor="_Toc416279066" w:history="1">
            <w:r w:rsidR="00A35E0B" w:rsidRPr="00F72A4D">
              <w:rPr>
                <w:rStyle w:val="Hyperlink"/>
                <w:rFonts w:eastAsiaTheme="majorEastAsia"/>
                <w:noProof/>
              </w:rPr>
              <w:t>3.</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Vispārējās valdības budžeta bilance un parāds</w:t>
            </w:r>
            <w:r w:rsidR="00A35E0B">
              <w:rPr>
                <w:noProof/>
                <w:webHidden/>
              </w:rPr>
              <w:tab/>
            </w:r>
            <w:r w:rsidR="00A35E0B">
              <w:rPr>
                <w:noProof/>
                <w:webHidden/>
              </w:rPr>
              <w:fldChar w:fldCharType="begin"/>
            </w:r>
            <w:r w:rsidR="00A35E0B">
              <w:rPr>
                <w:noProof/>
                <w:webHidden/>
              </w:rPr>
              <w:instrText xml:space="preserve"> PAGEREF _Toc416279066 \h </w:instrText>
            </w:r>
            <w:r w:rsidR="00A35E0B">
              <w:rPr>
                <w:noProof/>
                <w:webHidden/>
              </w:rPr>
            </w:r>
            <w:r w:rsidR="00A35E0B">
              <w:rPr>
                <w:noProof/>
                <w:webHidden/>
              </w:rPr>
              <w:fldChar w:fldCharType="separate"/>
            </w:r>
            <w:r w:rsidR="00EC224A">
              <w:rPr>
                <w:noProof/>
                <w:webHidden/>
              </w:rPr>
              <w:t>19</w:t>
            </w:r>
            <w:r w:rsidR="00A35E0B">
              <w:rPr>
                <w:noProof/>
                <w:webHidden/>
              </w:rPr>
              <w:fldChar w:fldCharType="end"/>
            </w:r>
          </w:hyperlink>
        </w:p>
        <w:p w14:paraId="571090C0"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67" w:history="1">
            <w:r w:rsidR="00A35E0B" w:rsidRPr="00F72A4D">
              <w:rPr>
                <w:rStyle w:val="Hyperlink"/>
                <w:rFonts w:eastAsiaTheme="majorEastAsia"/>
                <w:noProof/>
              </w:rPr>
              <w:t>3.1.</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Pašreizējā fiskālā situācija</w:t>
            </w:r>
            <w:r w:rsidR="00A35E0B">
              <w:rPr>
                <w:noProof/>
                <w:webHidden/>
              </w:rPr>
              <w:tab/>
            </w:r>
            <w:r w:rsidR="00A35E0B">
              <w:rPr>
                <w:noProof/>
                <w:webHidden/>
              </w:rPr>
              <w:fldChar w:fldCharType="begin"/>
            </w:r>
            <w:r w:rsidR="00A35E0B">
              <w:rPr>
                <w:noProof/>
                <w:webHidden/>
              </w:rPr>
              <w:instrText xml:space="preserve"> PAGEREF _Toc416279067 \h </w:instrText>
            </w:r>
            <w:r w:rsidR="00A35E0B">
              <w:rPr>
                <w:noProof/>
                <w:webHidden/>
              </w:rPr>
            </w:r>
            <w:r w:rsidR="00A35E0B">
              <w:rPr>
                <w:noProof/>
                <w:webHidden/>
              </w:rPr>
              <w:fldChar w:fldCharType="separate"/>
            </w:r>
            <w:r w:rsidR="00EC224A">
              <w:rPr>
                <w:noProof/>
                <w:webHidden/>
              </w:rPr>
              <w:t>19</w:t>
            </w:r>
            <w:r w:rsidR="00A35E0B">
              <w:rPr>
                <w:noProof/>
                <w:webHidden/>
              </w:rPr>
              <w:fldChar w:fldCharType="end"/>
            </w:r>
          </w:hyperlink>
        </w:p>
        <w:p w14:paraId="318DEB2B"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68" w:history="1">
            <w:r w:rsidR="00A35E0B" w:rsidRPr="00F72A4D">
              <w:rPr>
                <w:rStyle w:val="Hyperlink"/>
                <w:rFonts w:eastAsiaTheme="majorEastAsia"/>
                <w:noProof/>
              </w:rPr>
              <w:t>3.2.</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Fiskālās politikas stratēģija un vidēja termiņa mērķis</w:t>
            </w:r>
            <w:r w:rsidR="00A35E0B">
              <w:rPr>
                <w:noProof/>
                <w:webHidden/>
              </w:rPr>
              <w:tab/>
            </w:r>
            <w:r w:rsidR="00A35E0B">
              <w:rPr>
                <w:noProof/>
                <w:webHidden/>
              </w:rPr>
              <w:fldChar w:fldCharType="begin"/>
            </w:r>
            <w:r w:rsidR="00A35E0B">
              <w:rPr>
                <w:noProof/>
                <w:webHidden/>
              </w:rPr>
              <w:instrText xml:space="preserve"> PAGEREF _Toc416279068 \h </w:instrText>
            </w:r>
            <w:r w:rsidR="00A35E0B">
              <w:rPr>
                <w:noProof/>
                <w:webHidden/>
              </w:rPr>
            </w:r>
            <w:r w:rsidR="00A35E0B">
              <w:rPr>
                <w:noProof/>
                <w:webHidden/>
              </w:rPr>
              <w:fldChar w:fldCharType="separate"/>
            </w:r>
            <w:r w:rsidR="00EC224A">
              <w:rPr>
                <w:noProof/>
                <w:webHidden/>
              </w:rPr>
              <w:t>20</w:t>
            </w:r>
            <w:r w:rsidR="00A35E0B">
              <w:rPr>
                <w:noProof/>
                <w:webHidden/>
              </w:rPr>
              <w:fldChar w:fldCharType="end"/>
            </w:r>
          </w:hyperlink>
        </w:p>
        <w:p w14:paraId="5296BDE2"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70" w:history="1">
            <w:r w:rsidR="00A35E0B" w:rsidRPr="00F72A4D">
              <w:rPr>
                <w:rStyle w:val="Hyperlink"/>
                <w:rFonts w:eastAsiaTheme="majorEastAsia"/>
                <w:noProof/>
              </w:rPr>
              <w:t>3.3.</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Fiskālās attīstības scenārijs</w:t>
            </w:r>
            <w:r w:rsidR="00A35E0B">
              <w:rPr>
                <w:noProof/>
                <w:webHidden/>
              </w:rPr>
              <w:tab/>
            </w:r>
            <w:r w:rsidR="00A35E0B">
              <w:rPr>
                <w:noProof/>
                <w:webHidden/>
              </w:rPr>
              <w:fldChar w:fldCharType="begin"/>
            </w:r>
            <w:r w:rsidR="00A35E0B">
              <w:rPr>
                <w:noProof/>
                <w:webHidden/>
              </w:rPr>
              <w:instrText xml:space="preserve"> PAGEREF _Toc416279070 \h </w:instrText>
            </w:r>
            <w:r w:rsidR="00A35E0B">
              <w:rPr>
                <w:noProof/>
                <w:webHidden/>
              </w:rPr>
            </w:r>
            <w:r w:rsidR="00A35E0B">
              <w:rPr>
                <w:noProof/>
                <w:webHidden/>
              </w:rPr>
              <w:fldChar w:fldCharType="separate"/>
            </w:r>
            <w:r w:rsidR="00EC224A">
              <w:rPr>
                <w:noProof/>
                <w:webHidden/>
              </w:rPr>
              <w:t>40</w:t>
            </w:r>
            <w:r w:rsidR="00A35E0B">
              <w:rPr>
                <w:noProof/>
                <w:webHidden/>
              </w:rPr>
              <w:fldChar w:fldCharType="end"/>
            </w:r>
          </w:hyperlink>
        </w:p>
        <w:p w14:paraId="7BFF6595"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71" w:history="1">
            <w:r w:rsidR="00A35E0B" w:rsidRPr="00F72A4D">
              <w:rPr>
                <w:rStyle w:val="Hyperlink"/>
                <w:rFonts w:eastAsiaTheme="majorEastAsia"/>
                <w:noProof/>
              </w:rPr>
              <w:t>3.4.</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Valdības parāda vidēja termiņa attīstības tendences</w:t>
            </w:r>
            <w:r w:rsidR="00A35E0B">
              <w:rPr>
                <w:noProof/>
                <w:webHidden/>
              </w:rPr>
              <w:tab/>
            </w:r>
            <w:r w:rsidR="00A35E0B">
              <w:rPr>
                <w:noProof/>
                <w:webHidden/>
              </w:rPr>
              <w:fldChar w:fldCharType="begin"/>
            </w:r>
            <w:r w:rsidR="00A35E0B">
              <w:rPr>
                <w:noProof/>
                <w:webHidden/>
              </w:rPr>
              <w:instrText xml:space="preserve"> PAGEREF _Toc416279071 \h </w:instrText>
            </w:r>
            <w:r w:rsidR="00A35E0B">
              <w:rPr>
                <w:noProof/>
                <w:webHidden/>
              </w:rPr>
            </w:r>
            <w:r w:rsidR="00A35E0B">
              <w:rPr>
                <w:noProof/>
                <w:webHidden/>
              </w:rPr>
              <w:fldChar w:fldCharType="separate"/>
            </w:r>
            <w:r w:rsidR="00EC224A">
              <w:rPr>
                <w:noProof/>
                <w:webHidden/>
              </w:rPr>
              <w:t>43</w:t>
            </w:r>
            <w:r w:rsidR="00A35E0B">
              <w:rPr>
                <w:noProof/>
                <w:webHidden/>
              </w:rPr>
              <w:fldChar w:fldCharType="end"/>
            </w:r>
          </w:hyperlink>
        </w:p>
        <w:p w14:paraId="0FE90735" w14:textId="77777777" w:rsidR="00A35E0B" w:rsidRDefault="00FE657D">
          <w:pPr>
            <w:pStyle w:val="TOC1"/>
            <w:rPr>
              <w:rFonts w:asciiTheme="minorHAnsi" w:eastAsiaTheme="minorEastAsia" w:hAnsiTheme="minorHAnsi" w:cstheme="minorBidi"/>
              <w:noProof/>
              <w:sz w:val="22"/>
              <w:szCs w:val="22"/>
              <w:lang w:eastAsia="lv-LV"/>
            </w:rPr>
          </w:pPr>
          <w:hyperlink w:anchor="_Toc416279072" w:history="1">
            <w:r w:rsidR="00A35E0B" w:rsidRPr="00F72A4D">
              <w:rPr>
                <w:rStyle w:val="Hyperlink"/>
                <w:rFonts w:eastAsiaTheme="majorEastAsia"/>
                <w:noProof/>
              </w:rPr>
              <w:t>4.</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Jutīguma analīze un salīdzinājums</w:t>
            </w:r>
            <w:r w:rsidR="00A35E0B">
              <w:rPr>
                <w:noProof/>
                <w:webHidden/>
              </w:rPr>
              <w:tab/>
            </w:r>
            <w:r w:rsidR="00A35E0B">
              <w:rPr>
                <w:noProof/>
                <w:webHidden/>
              </w:rPr>
              <w:fldChar w:fldCharType="begin"/>
            </w:r>
            <w:r w:rsidR="00A35E0B">
              <w:rPr>
                <w:noProof/>
                <w:webHidden/>
              </w:rPr>
              <w:instrText xml:space="preserve"> PAGEREF _Toc416279072 \h </w:instrText>
            </w:r>
            <w:r w:rsidR="00A35E0B">
              <w:rPr>
                <w:noProof/>
                <w:webHidden/>
              </w:rPr>
            </w:r>
            <w:r w:rsidR="00A35E0B">
              <w:rPr>
                <w:noProof/>
                <w:webHidden/>
              </w:rPr>
              <w:fldChar w:fldCharType="separate"/>
            </w:r>
            <w:r w:rsidR="00EC224A">
              <w:rPr>
                <w:noProof/>
                <w:webHidden/>
              </w:rPr>
              <w:t>46</w:t>
            </w:r>
            <w:r w:rsidR="00A35E0B">
              <w:rPr>
                <w:noProof/>
                <w:webHidden/>
              </w:rPr>
              <w:fldChar w:fldCharType="end"/>
            </w:r>
          </w:hyperlink>
        </w:p>
        <w:p w14:paraId="79C63C50"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73" w:history="1">
            <w:r w:rsidR="00A35E0B" w:rsidRPr="00F72A4D">
              <w:rPr>
                <w:rStyle w:val="Hyperlink"/>
                <w:rFonts w:eastAsiaTheme="majorEastAsia"/>
                <w:noProof/>
              </w:rPr>
              <w:t>4.1.</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Makroekonomiskā scenārija riski</w:t>
            </w:r>
            <w:r w:rsidR="00A35E0B">
              <w:rPr>
                <w:noProof/>
                <w:webHidden/>
              </w:rPr>
              <w:tab/>
            </w:r>
            <w:r w:rsidR="00A35E0B">
              <w:rPr>
                <w:noProof/>
                <w:webHidden/>
              </w:rPr>
              <w:fldChar w:fldCharType="begin"/>
            </w:r>
            <w:r w:rsidR="00A35E0B">
              <w:rPr>
                <w:noProof/>
                <w:webHidden/>
              </w:rPr>
              <w:instrText xml:space="preserve"> PAGEREF _Toc416279073 \h </w:instrText>
            </w:r>
            <w:r w:rsidR="00A35E0B">
              <w:rPr>
                <w:noProof/>
                <w:webHidden/>
              </w:rPr>
            </w:r>
            <w:r w:rsidR="00A35E0B">
              <w:rPr>
                <w:noProof/>
                <w:webHidden/>
              </w:rPr>
              <w:fldChar w:fldCharType="separate"/>
            </w:r>
            <w:r w:rsidR="00EC224A">
              <w:rPr>
                <w:noProof/>
                <w:webHidden/>
              </w:rPr>
              <w:t>46</w:t>
            </w:r>
            <w:r w:rsidR="00A35E0B">
              <w:rPr>
                <w:noProof/>
                <w:webHidden/>
              </w:rPr>
              <w:fldChar w:fldCharType="end"/>
            </w:r>
          </w:hyperlink>
        </w:p>
        <w:p w14:paraId="4504D4E1"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74" w:history="1">
            <w:r w:rsidR="00A35E0B" w:rsidRPr="00F72A4D">
              <w:rPr>
                <w:rStyle w:val="Hyperlink"/>
                <w:rFonts w:eastAsiaTheme="majorEastAsia"/>
                <w:noProof/>
              </w:rPr>
              <w:t>4.2.</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Jutīguma analīze</w:t>
            </w:r>
            <w:r w:rsidR="00A35E0B">
              <w:rPr>
                <w:noProof/>
                <w:webHidden/>
              </w:rPr>
              <w:tab/>
            </w:r>
            <w:r w:rsidR="00A35E0B">
              <w:rPr>
                <w:noProof/>
                <w:webHidden/>
              </w:rPr>
              <w:fldChar w:fldCharType="begin"/>
            </w:r>
            <w:r w:rsidR="00A35E0B">
              <w:rPr>
                <w:noProof/>
                <w:webHidden/>
              </w:rPr>
              <w:instrText xml:space="preserve"> PAGEREF _Toc416279074 \h </w:instrText>
            </w:r>
            <w:r w:rsidR="00A35E0B">
              <w:rPr>
                <w:noProof/>
                <w:webHidden/>
              </w:rPr>
            </w:r>
            <w:r w:rsidR="00A35E0B">
              <w:rPr>
                <w:noProof/>
                <w:webHidden/>
              </w:rPr>
              <w:fldChar w:fldCharType="separate"/>
            </w:r>
            <w:r w:rsidR="00EC224A">
              <w:rPr>
                <w:noProof/>
                <w:webHidden/>
              </w:rPr>
              <w:t>48</w:t>
            </w:r>
            <w:r w:rsidR="00A35E0B">
              <w:rPr>
                <w:noProof/>
                <w:webHidden/>
              </w:rPr>
              <w:fldChar w:fldCharType="end"/>
            </w:r>
          </w:hyperlink>
        </w:p>
        <w:p w14:paraId="6567937A" w14:textId="77777777" w:rsidR="00A35E0B" w:rsidRDefault="00FE657D">
          <w:pPr>
            <w:pStyle w:val="TOC1"/>
            <w:rPr>
              <w:rFonts w:asciiTheme="minorHAnsi" w:eastAsiaTheme="minorEastAsia" w:hAnsiTheme="minorHAnsi" w:cstheme="minorBidi"/>
              <w:noProof/>
              <w:sz w:val="22"/>
              <w:szCs w:val="22"/>
              <w:lang w:eastAsia="lv-LV"/>
            </w:rPr>
          </w:pPr>
          <w:hyperlink w:anchor="_Toc416279075" w:history="1">
            <w:r w:rsidR="00A35E0B" w:rsidRPr="00F72A4D">
              <w:rPr>
                <w:rStyle w:val="Hyperlink"/>
                <w:rFonts w:eastAsiaTheme="majorEastAsia"/>
                <w:noProof/>
              </w:rPr>
              <w:t>5.</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Vispārējās valdības budžeta bilances un parāda prognožu salīdzinājums ar Latvijas Stabilitātes programmu 2014.-2017.gadam</w:t>
            </w:r>
            <w:r w:rsidR="00A35E0B">
              <w:rPr>
                <w:noProof/>
                <w:webHidden/>
              </w:rPr>
              <w:tab/>
            </w:r>
            <w:r w:rsidR="00A35E0B">
              <w:rPr>
                <w:noProof/>
                <w:webHidden/>
              </w:rPr>
              <w:fldChar w:fldCharType="begin"/>
            </w:r>
            <w:r w:rsidR="00A35E0B">
              <w:rPr>
                <w:noProof/>
                <w:webHidden/>
              </w:rPr>
              <w:instrText xml:space="preserve"> PAGEREF _Toc416279075 \h </w:instrText>
            </w:r>
            <w:r w:rsidR="00A35E0B">
              <w:rPr>
                <w:noProof/>
                <w:webHidden/>
              </w:rPr>
            </w:r>
            <w:r w:rsidR="00A35E0B">
              <w:rPr>
                <w:noProof/>
                <w:webHidden/>
              </w:rPr>
              <w:fldChar w:fldCharType="separate"/>
            </w:r>
            <w:r w:rsidR="00EC224A">
              <w:rPr>
                <w:noProof/>
                <w:webHidden/>
              </w:rPr>
              <w:t>51</w:t>
            </w:r>
            <w:r w:rsidR="00A35E0B">
              <w:rPr>
                <w:noProof/>
                <w:webHidden/>
              </w:rPr>
              <w:fldChar w:fldCharType="end"/>
            </w:r>
          </w:hyperlink>
        </w:p>
        <w:p w14:paraId="5191A40F" w14:textId="77777777" w:rsidR="00A35E0B" w:rsidRDefault="00FE657D">
          <w:pPr>
            <w:pStyle w:val="TOC1"/>
            <w:rPr>
              <w:rFonts w:asciiTheme="minorHAnsi" w:eastAsiaTheme="minorEastAsia" w:hAnsiTheme="minorHAnsi" w:cstheme="minorBidi"/>
              <w:noProof/>
              <w:sz w:val="22"/>
              <w:szCs w:val="22"/>
              <w:lang w:eastAsia="lv-LV"/>
            </w:rPr>
          </w:pPr>
          <w:hyperlink w:anchor="_Toc416279076" w:history="1">
            <w:r w:rsidR="00A35E0B" w:rsidRPr="00F72A4D">
              <w:rPr>
                <w:rStyle w:val="Hyperlink"/>
                <w:rFonts w:eastAsiaTheme="majorEastAsia"/>
                <w:noProof/>
              </w:rPr>
              <w:t>6.</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Valsts finanšu kvalitāte</w:t>
            </w:r>
            <w:r w:rsidR="00A35E0B">
              <w:rPr>
                <w:noProof/>
                <w:webHidden/>
              </w:rPr>
              <w:tab/>
            </w:r>
            <w:r w:rsidR="00A35E0B">
              <w:rPr>
                <w:noProof/>
                <w:webHidden/>
              </w:rPr>
              <w:fldChar w:fldCharType="begin"/>
            </w:r>
            <w:r w:rsidR="00A35E0B">
              <w:rPr>
                <w:noProof/>
                <w:webHidden/>
              </w:rPr>
              <w:instrText xml:space="preserve"> PAGEREF _Toc416279076 \h </w:instrText>
            </w:r>
            <w:r w:rsidR="00A35E0B">
              <w:rPr>
                <w:noProof/>
                <w:webHidden/>
              </w:rPr>
            </w:r>
            <w:r w:rsidR="00A35E0B">
              <w:rPr>
                <w:noProof/>
                <w:webHidden/>
              </w:rPr>
              <w:fldChar w:fldCharType="separate"/>
            </w:r>
            <w:r w:rsidR="00EC224A">
              <w:rPr>
                <w:noProof/>
                <w:webHidden/>
              </w:rPr>
              <w:t>52</w:t>
            </w:r>
            <w:r w:rsidR="00A35E0B">
              <w:rPr>
                <w:noProof/>
                <w:webHidden/>
              </w:rPr>
              <w:fldChar w:fldCharType="end"/>
            </w:r>
          </w:hyperlink>
        </w:p>
        <w:p w14:paraId="5B4FAD23"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77" w:history="1">
            <w:r w:rsidR="00A35E0B" w:rsidRPr="00F72A4D">
              <w:rPr>
                <w:rStyle w:val="Hyperlink"/>
                <w:rFonts w:eastAsiaTheme="majorEastAsia"/>
                <w:noProof/>
              </w:rPr>
              <w:t>6.1.</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Valsts budžeta līdzekļu efektivitāte un izlietojuma kontrole</w:t>
            </w:r>
            <w:r w:rsidR="00A35E0B">
              <w:rPr>
                <w:noProof/>
                <w:webHidden/>
              </w:rPr>
              <w:tab/>
            </w:r>
            <w:r w:rsidR="00A35E0B">
              <w:rPr>
                <w:noProof/>
                <w:webHidden/>
              </w:rPr>
              <w:fldChar w:fldCharType="begin"/>
            </w:r>
            <w:r w:rsidR="00A35E0B">
              <w:rPr>
                <w:noProof/>
                <w:webHidden/>
              </w:rPr>
              <w:instrText xml:space="preserve"> PAGEREF _Toc416279077 \h </w:instrText>
            </w:r>
            <w:r w:rsidR="00A35E0B">
              <w:rPr>
                <w:noProof/>
                <w:webHidden/>
              </w:rPr>
            </w:r>
            <w:r w:rsidR="00A35E0B">
              <w:rPr>
                <w:noProof/>
                <w:webHidden/>
              </w:rPr>
              <w:fldChar w:fldCharType="separate"/>
            </w:r>
            <w:r w:rsidR="00EC224A">
              <w:rPr>
                <w:noProof/>
                <w:webHidden/>
              </w:rPr>
              <w:t>52</w:t>
            </w:r>
            <w:r w:rsidR="00A35E0B">
              <w:rPr>
                <w:noProof/>
                <w:webHidden/>
              </w:rPr>
              <w:fldChar w:fldCharType="end"/>
            </w:r>
          </w:hyperlink>
        </w:p>
        <w:p w14:paraId="1AB201D1"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78" w:history="1">
            <w:r w:rsidR="00A35E0B" w:rsidRPr="00F72A4D">
              <w:rPr>
                <w:rStyle w:val="Hyperlink"/>
                <w:rFonts w:eastAsiaTheme="majorEastAsia"/>
                <w:noProof/>
              </w:rPr>
              <w:t>6.2.</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Ieņēmumu struktūras un sistēmas efektivitāte</w:t>
            </w:r>
            <w:r w:rsidR="00A35E0B">
              <w:rPr>
                <w:noProof/>
                <w:webHidden/>
              </w:rPr>
              <w:tab/>
            </w:r>
            <w:r w:rsidR="00A35E0B">
              <w:rPr>
                <w:noProof/>
                <w:webHidden/>
              </w:rPr>
              <w:fldChar w:fldCharType="begin"/>
            </w:r>
            <w:r w:rsidR="00A35E0B">
              <w:rPr>
                <w:noProof/>
                <w:webHidden/>
              </w:rPr>
              <w:instrText xml:space="preserve"> PAGEREF _Toc416279078 \h </w:instrText>
            </w:r>
            <w:r w:rsidR="00A35E0B">
              <w:rPr>
                <w:noProof/>
                <w:webHidden/>
              </w:rPr>
            </w:r>
            <w:r w:rsidR="00A35E0B">
              <w:rPr>
                <w:noProof/>
                <w:webHidden/>
              </w:rPr>
              <w:fldChar w:fldCharType="separate"/>
            </w:r>
            <w:r w:rsidR="00EC224A">
              <w:rPr>
                <w:noProof/>
                <w:webHidden/>
              </w:rPr>
              <w:t>54</w:t>
            </w:r>
            <w:r w:rsidR="00A35E0B">
              <w:rPr>
                <w:noProof/>
                <w:webHidden/>
              </w:rPr>
              <w:fldChar w:fldCharType="end"/>
            </w:r>
          </w:hyperlink>
        </w:p>
        <w:p w14:paraId="39FC6A32" w14:textId="77777777" w:rsidR="00A35E0B" w:rsidRDefault="00FE657D">
          <w:pPr>
            <w:pStyle w:val="TOC1"/>
            <w:rPr>
              <w:rFonts w:asciiTheme="minorHAnsi" w:eastAsiaTheme="minorEastAsia" w:hAnsiTheme="minorHAnsi" w:cstheme="minorBidi"/>
              <w:noProof/>
              <w:sz w:val="22"/>
              <w:szCs w:val="22"/>
              <w:lang w:eastAsia="lv-LV"/>
            </w:rPr>
          </w:pPr>
          <w:hyperlink w:anchor="_Toc416279079" w:history="1">
            <w:r w:rsidR="00A35E0B" w:rsidRPr="00F72A4D">
              <w:rPr>
                <w:rStyle w:val="Hyperlink"/>
                <w:rFonts w:eastAsiaTheme="majorEastAsia"/>
                <w:noProof/>
              </w:rPr>
              <w:t>7.</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Publisko finanšu ilgtspēja</w:t>
            </w:r>
            <w:r w:rsidR="00A35E0B">
              <w:rPr>
                <w:noProof/>
                <w:webHidden/>
              </w:rPr>
              <w:tab/>
            </w:r>
            <w:r w:rsidR="00A35E0B">
              <w:rPr>
                <w:noProof/>
                <w:webHidden/>
              </w:rPr>
              <w:fldChar w:fldCharType="begin"/>
            </w:r>
            <w:r w:rsidR="00A35E0B">
              <w:rPr>
                <w:noProof/>
                <w:webHidden/>
              </w:rPr>
              <w:instrText xml:space="preserve"> PAGEREF _Toc416279079 \h </w:instrText>
            </w:r>
            <w:r w:rsidR="00A35E0B">
              <w:rPr>
                <w:noProof/>
                <w:webHidden/>
              </w:rPr>
            </w:r>
            <w:r w:rsidR="00A35E0B">
              <w:rPr>
                <w:noProof/>
                <w:webHidden/>
              </w:rPr>
              <w:fldChar w:fldCharType="separate"/>
            </w:r>
            <w:r w:rsidR="00EC224A">
              <w:rPr>
                <w:noProof/>
                <w:webHidden/>
              </w:rPr>
              <w:t>63</w:t>
            </w:r>
            <w:r w:rsidR="00A35E0B">
              <w:rPr>
                <w:noProof/>
                <w:webHidden/>
              </w:rPr>
              <w:fldChar w:fldCharType="end"/>
            </w:r>
          </w:hyperlink>
        </w:p>
        <w:p w14:paraId="2382CDA4"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80" w:history="1">
            <w:r w:rsidR="00A35E0B" w:rsidRPr="00F72A4D">
              <w:rPr>
                <w:rStyle w:val="Hyperlink"/>
                <w:rFonts w:eastAsiaTheme="majorEastAsia"/>
                <w:noProof/>
              </w:rPr>
              <w:t>7.1.</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Publisko finanšu ilgtermiņa attīstības scenārijs</w:t>
            </w:r>
            <w:r w:rsidR="00A35E0B">
              <w:rPr>
                <w:noProof/>
                <w:webHidden/>
              </w:rPr>
              <w:tab/>
            </w:r>
            <w:r w:rsidR="00A35E0B">
              <w:rPr>
                <w:noProof/>
                <w:webHidden/>
              </w:rPr>
              <w:fldChar w:fldCharType="begin"/>
            </w:r>
            <w:r w:rsidR="00A35E0B">
              <w:rPr>
                <w:noProof/>
                <w:webHidden/>
              </w:rPr>
              <w:instrText xml:space="preserve"> PAGEREF _Toc416279080 \h </w:instrText>
            </w:r>
            <w:r w:rsidR="00A35E0B">
              <w:rPr>
                <w:noProof/>
                <w:webHidden/>
              </w:rPr>
            </w:r>
            <w:r w:rsidR="00A35E0B">
              <w:rPr>
                <w:noProof/>
                <w:webHidden/>
              </w:rPr>
              <w:fldChar w:fldCharType="separate"/>
            </w:r>
            <w:r w:rsidR="00EC224A">
              <w:rPr>
                <w:noProof/>
                <w:webHidden/>
              </w:rPr>
              <w:t>63</w:t>
            </w:r>
            <w:r w:rsidR="00A35E0B">
              <w:rPr>
                <w:noProof/>
                <w:webHidden/>
              </w:rPr>
              <w:fldChar w:fldCharType="end"/>
            </w:r>
          </w:hyperlink>
        </w:p>
        <w:p w14:paraId="6C17DF5F"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81" w:history="1">
            <w:r w:rsidR="00A35E0B" w:rsidRPr="00F72A4D">
              <w:rPr>
                <w:rStyle w:val="Hyperlink"/>
                <w:rFonts w:eastAsiaTheme="majorEastAsia"/>
                <w:noProof/>
              </w:rPr>
              <w:t>7.2.</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Valsts sniegtie galvojumi</w:t>
            </w:r>
            <w:r w:rsidR="00A35E0B">
              <w:rPr>
                <w:noProof/>
                <w:webHidden/>
              </w:rPr>
              <w:tab/>
            </w:r>
            <w:r w:rsidR="00A35E0B">
              <w:rPr>
                <w:noProof/>
                <w:webHidden/>
              </w:rPr>
              <w:fldChar w:fldCharType="begin"/>
            </w:r>
            <w:r w:rsidR="00A35E0B">
              <w:rPr>
                <w:noProof/>
                <w:webHidden/>
              </w:rPr>
              <w:instrText xml:space="preserve"> PAGEREF _Toc416279081 \h </w:instrText>
            </w:r>
            <w:r w:rsidR="00A35E0B">
              <w:rPr>
                <w:noProof/>
                <w:webHidden/>
              </w:rPr>
            </w:r>
            <w:r w:rsidR="00A35E0B">
              <w:rPr>
                <w:noProof/>
                <w:webHidden/>
              </w:rPr>
              <w:fldChar w:fldCharType="separate"/>
            </w:r>
            <w:r w:rsidR="00EC224A">
              <w:rPr>
                <w:noProof/>
                <w:webHidden/>
              </w:rPr>
              <w:t>64</w:t>
            </w:r>
            <w:r w:rsidR="00A35E0B">
              <w:rPr>
                <w:noProof/>
                <w:webHidden/>
              </w:rPr>
              <w:fldChar w:fldCharType="end"/>
            </w:r>
          </w:hyperlink>
        </w:p>
        <w:p w14:paraId="6AE134B3" w14:textId="77777777" w:rsidR="00A35E0B" w:rsidRDefault="00FE657D">
          <w:pPr>
            <w:pStyle w:val="TOC1"/>
            <w:rPr>
              <w:rFonts w:asciiTheme="minorHAnsi" w:eastAsiaTheme="minorEastAsia" w:hAnsiTheme="minorHAnsi" w:cstheme="minorBidi"/>
              <w:noProof/>
              <w:sz w:val="22"/>
              <w:szCs w:val="22"/>
              <w:lang w:eastAsia="lv-LV"/>
            </w:rPr>
          </w:pPr>
          <w:hyperlink w:anchor="_Toc416279082" w:history="1">
            <w:r w:rsidR="00A35E0B" w:rsidRPr="00F72A4D">
              <w:rPr>
                <w:rStyle w:val="Hyperlink"/>
                <w:rFonts w:eastAsiaTheme="majorEastAsia"/>
                <w:noProof/>
              </w:rPr>
              <w:t>8.</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Valsts finanšu institucionālās iezīmes</w:t>
            </w:r>
            <w:r w:rsidR="00A35E0B">
              <w:rPr>
                <w:noProof/>
                <w:webHidden/>
              </w:rPr>
              <w:tab/>
            </w:r>
            <w:r w:rsidR="00A35E0B">
              <w:rPr>
                <w:noProof/>
                <w:webHidden/>
              </w:rPr>
              <w:fldChar w:fldCharType="begin"/>
            </w:r>
            <w:r w:rsidR="00A35E0B">
              <w:rPr>
                <w:noProof/>
                <w:webHidden/>
              </w:rPr>
              <w:instrText xml:space="preserve"> PAGEREF _Toc416279082 \h </w:instrText>
            </w:r>
            <w:r w:rsidR="00A35E0B">
              <w:rPr>
                <w:noProof/>
                <w:webHidden/>
              </w:rPr>
            </w:r>
            <w:r w:rsidR="00A35E0B">
              <w:rPr>
                <w:noProof/>
                <w:webHidden/>
              </w:rPr>
              <w:fldChar w:fldCharType="separate"/>
            </w:r>
            <w:r w:rsidR="00EC224A">
              <w:rPr>
                <w:noProof/>
                <w:webHidden/>
              </w:rPr>
              <w:t>66</w:t>
            </w:r>
            <w:r w:rsidR="00A35E0B">
              <w:rPr>
                <w:noProof/>
                <w:webHidden/>
              </w:rPr>
              <w:fldChar w:fldCharType="end"/>
            </w:r>
          </w:hyperlink>
        </w:p>
        <w:p w14:paraId="5CAF9429"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83" w:history="1">
            <w:r w:rsidR="00A35E0B" w:rsidRPr="00F72A4D">
              <w:rPr>
                <w:rStyle w:val="Hyperlink"/>
                <w:rFonts w:eastAsiaTheme="majorEastAsia"/>
                <w:noProof/>
              </w:rPr>
              <w:t>8.1.</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Valsts budžeta noteikumu ieviešana un citas institucionālās attīstības attiecībā uz valsts finansēm</w:t>
            </w:r>
            <w:r w:rsidR="00A35E0B">
              <w:rPr>
                <w:noProof/>
                <w:webHidden/>
              </w:rPr>
              <w:tab/>
            </w:r>
            <w:r w:rsidR="00A35E0B">
              <w:rPr>
                <w:noProof/>
                <w:webHidden/>
              </w:rPr>
              <w:fldChar w:fldCharType="begin"/>
            </w:r>
            <w:r w:rsidR="00A35E0B">
              <w:rPr>
                <w:noProof/>
                <w:webHidden/>
              </w:rPr>
              <w:instrText xml:space="preserve"> PAGEREF _Toc416279083 \h </w:instrText>
            </w:r>
            <w:r w:rsidR="00A35E0B">
              <w:rPr>
                <w:noProof/>
                <w:webHidden/>
              </w:rPr>
            </w:r>
            <w:r w:rsidR="00A35E0B">
              <w:rPr>
                <w:noProof/>
                <w:webHidden/>
              </w:rPr>
              <w:fldChar w:fldCharType="separate"/>
            </w:r>
            <w:r w:rsidR="00EC224A">
              <w:rPr>
                <w:noProof/>
                <w:webHidden/>
              </w:rPr>
              <w:t>66</w:t>
            </w:r>
            <w:r w:rsidR="00A35E0B">
              <w:rPr>
                <w:noProof/>
                <w:webHidden/>
              </w:rPr>
              <w:fldChar w:fldCharType="end"/>
            </w:r>
          </w:hyperlink>
        </w:p>
        <w:p w14:paraId="56D3E0B4"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84" w:history="1">
            <w:r w:rsidR="00A35E0B" w:rsidRPr="00F72A4D">
              <w:rPr>
                <w:rStyle w:val="Hyperlink"/>
                <w:rFonts w:eastAsiaTheme="majorEastAsia"/>
                <w:noProof/>
              </w:rPr>
              <w:t>8.2.</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Vidēja termiņa budžeta plānošana</w:t>
            </w:r>
            <w:r w:rsidR="00A35E0B">
              <w:rPr>
                <w:noProof/>
                <w:webHidden/>
              </w:rPr>
              <w:tab/>
            </w:r>
            <w:r w:rsidR="00A35E0B">
              <w:rPr>
                <w:noProof/>
                <w:webHidden/>
              </w:rPr>
              <w:fldChar w:fldCharType="begin"/>
            </w:r>
            <w:r w:rsidR="00A35E0B">
              <w:rPr>
                <w:noProof/>
                <w:webHidden/>
              </w:rPr>
              <w:instrText xml:space="preserve"> PAGEREF _Toc416279084 \h </w:instrText>
            </w:r>
            <w:r w:rsidR="00A35E0B">
              <w:rPr>
                <w:noProof/>
                <w:webHidden/>
              </w:rPr>
            </w:r>
            <w:r w:rsidR="00A35E0B">
              <w:rPr>
                <w:noProof/>
                <w:webHidden/>
              </w:rPr>
              <w:fldChar w:fldCharType="separate"/>
            </w:r>
            <w:r w:rsidR="00EC224A">
              <w:rPr>
                <w:noProof/>
                <w:webHidden/>
              </w:rPr>
              <w:t>67</w:t>
            </w:r>
            <w:r w:rsidR="00A35E0B">
              <w:rPr>
                <w:noProof/>
                <w:webHidden/>
              </w:rPr>
              <w:fldChar w:fldCharType="end"/>
            </w:r>
          </w:hyperlink>
        </w:p>
        <w:p w14:paraId="1960443E" w14:textId="77777777" w:rsidR="00A35E0B" w:rsidRDefault="00FE657D">
          <w:pPr>
            <w:pStyle w:val="TOC2"/>
            <w:tabs>
              <w:tab w:val="left" w:pos="880"/>
            </w:tabs>
            <w:rPr>
              <w:rFonts w:asciiTheme="minorHAnsi" w:eastAsiaTheme="minorEastAsia" w:hAnsiTheme="minorHAnsi" w:cstheme="minorBidi"/>
              <w:noProof/>
              <w:sz w:val="22"/>
              <w:szCs w:val="22"/>
              <w:lang w:eastAsia="lv-LV"/>
            </w:rPr>
          </w:pPr>
          <w:hyperlink w:anchor="_Toc416279085" w:history="1">
            <w:r w:rsidR="00A35E0B" w:rsidRPr="00F72A4D">
              <w:rPr>
                <w:rStyle w:val="Hyperlink"/>
                <w:rFonts w:eastAsiaTheme="majorEastAsia"/>
                <w:noProof/>
              </w:rPr>
              <w:t>8.3.</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Budžeta procedūras, t.sk. valsts finanšu statistikas pārvalde</w:t>
            </w:r>
            <w:r w:rsidR="00A35E0B">
              <w:rPr>
                <w:noProof/>
                <w:webHidden/>
              </w:rPr>
              <w:tab/>
            </w:r>
            <w:r w:rsidR="00A35E0B">
              <w:rPr>
                <w:noProof/>
                <w:webHidden/>
              </w:rPr>
              <w:fldChar w:fldCharType="begin"/>
            </w:r>
            <w:r w:rsidR="00A35E0B">
              <w:rPr>
                <w:noProof/>
                <w:webHidden/>
              </w:rPr>
              <w:instrText xml:space="preserve"> PAGEREF _Toc416279085 \h </w:instrText>
            </w:r>
            <w:r w:rsidR="00A35E0B">
              <w:rPr>
                <w:noProof/>
                <w:webHidden/>
              </w:rPr>
            </w:r>
            <w:r w:rsidR="00A35E0B">
              <w:rPr>
                <w:noProof/>
                <w:webHidden/>
              </w:rPr>
              <w:fldChar w:fldCharType="separate"/>
            </w:r>
            <w:r w:rsidR="00EC224A">
              <w:rPr>
                <w:noProof/>
                <w:webHidden/>
              </w:rPr>
              <w:t>68</w:t>
            </w:r>
            <w:r w:rsidR="00A35E0B">
              <w:rPr>
                <w:noProof/>
                <w:webHidden/>
              </w:rPr>
              <w:fldChar w:fldCharType="end"/>
            </w:r>
          </w:hyperlink>
        </w:p>
        <w:p w14:paraId="1D26B2C0" w14:textId="77777777" w:rsidR="00A35E0B" w:rsidRDefault="00FE657D">
          <w:pPr>
            <w:pStyle w:val="TOC3"/>
            <w:tabs>
              <w:tab w:val="left" w:pos="1809"/>
            </w:tabs>
            <w:rPr>
              <w:rFonts w:asciiTheme="minorHAnsi" w:eastAsiaTheme="minorEastAsia" w:hAnsiTheme="minorHAnsi" w:cstheme="minorBidi"/>
              <w:noProof/>
              <w:sz w:val="22"/>
              <w:szCs w:val="22"/>
              <w:lang w:eastAsia="lv-LV"/>
            </w:rPr>
          </w:pPr>
          <w:hyperlink w:anchor="_Toc416279086" w:history="1">
            <w:r w:rsidR="00A35E0B" w:rsidRPr="00F72A4D">
              <w:rPr>
                <w:rStyle w:val="Hyperlink"/>
                <w:rFonts w:eastAsiaTheme="majorEastAsia"/>
                <w:noProof/>
              </w:rPr>
              <w:t>8.3.1.</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Budžeta procedūras</w:t>
            </w:r>
            <w:r w:rsidR="00A35E0B">
              <w:rPr>
                <w:noProof/>
                <w:webHidden/>
              </w:rPr>
              <w:tab/>
            </w:r>
            <w:r w:rsidR="00A35E0B">
              <w:rPr>
                <w:noProof/>
                <w:webHidden/>
              </w:rPr>
              <w:fldChar w:fldCharType="begin"/>
            </w:r>
            <w:r w:rsidR="00A35E0B">
              <w:rPr>
                <w:noProof/>
                <w:webHidden/>
              </w:rPr>
              <w:instrText xml:space="preserve"> PAGEREF _Toc416279086 \h </w:instrText>
            </w:r>
            <w:r w:rsidR="00A35E0B">
              <w:rPr>
                <w:noProof/>
                <w:webHidden/>
              </w:rPr>
            </w:r>
            <w:r w:rsidR="00A35E0B">
              <w:rPr>
                <w:noProof/>
                <w:webHidden/>
              </w:rPr>
              <w:fldChar w:fldCharType="separate"/>
            </w:r>
            <w:r w:rsidR="00EC224A">
              <w:rPr>
                <w:noProof/>
                <w:webHidden/>
              </w:rPr>
              <w:t>68</w:t>
            </w:r>
            <w:r w:rsidR="00A35E0B">
              <w:rPr>
                <w:noProof/>
                <w:webHidden/>
              </w:rPr>
              <w:fldChar w:fldCharType="end"/>
            </w:r>
          </w:hyperlink>
        </w:p>
        <w:p w14:paraId="70A43A60" w14:textId="77777777" w:rsidR="00A35E0B" w:rsidRDefault="00FE657D">
          <w:pPr>
            <w:pStyle w:val="TOC3"/>
            <w:tabs>
              <w:tab w:val="left" w:pos="1809"/>
            </w:tabs>
            <w:rPr>
              <w:rFonts w:asciiTheme="minorHAnsi" w:eastAsiaTheme="minorEastAsia" w:hAnsiTheme="minorHAnsi" w:cstheme="minorBidi"/>
              <w:noProof/>
              <w:sz w:val="22"/>
              <w:szCs w:val="22"/>
              <w:lang w:eastAsia="lv-LV"/>
            </w:rPr>
          </w:pPr>
          <w:hyperlink w:anchor="_Toc416279087" w:history="1">
            <w:r w:rsidR="00A35E0B" w:rsidRPr="00F72A4D">
              <w:rPr>
                <w:rStyle w:val="Hyperlink"/>
                <w:rFonts w:eastAsiaTheme="majorEastAsia"/>
                <w:noProof/>
              </w:rPr>
              <w:t>8.3.2.</w:t>
            </w:r>
            <w:r w:rsidR="00A35E0B">
              <w:rPr>
                <w:rFonts w:asciiTheme="minorHAnsi" w:eastAsiaTheme="minorEastAsia" w:hAnsiTheme="minorHAnsi" w:cstheme="minorBidi"/>
                <w:noProof/>
                <w:sz w:val="22"/>
                <w:szCs w:val="22"/>
                <w:lang w:eastAsia="lv-LV"/>
              </w:rPr>
              <w:tab/>
            </w:r>
            <w:r w:rsidR="00A35E0B" w:rsidRPr="00F72A4D">
              <w:rPr>
                <w:rStyle w:val="Hyperlink"/>
                <w:rFonts w:eastAsiaTheme="majorEastAsia"/>
                <w:noProof/>
              </w:rPr>
              <w:t>Valsts finanšu statistikas pārvaldība</w:t>
            </w:r>
            <w:r w:rsidR="00A35E0B">
              <w:rPr>
                <w:noProof/>
                <w:webHidden/>
              </w:rPr>
              <w:tab/>
            </w:r>
            <w:r w:rsidR="00A35E0B">
              <w:rPr>
                <w:noProof/>
                <w:webHidden/>
              </w:rPr>
              <w:fldChar w:fldCharType="begin"/>
            </w:r>
            <w:r w:rsidR="00A35E0B">
              <w:rPr>
                <w:noProof/>
                <w:webHidden/>
              </w:rPr>
              <w:instrText xml:space="preserve"> PAGEREF _Toc416279087 \h </w:instrText>
            </w:r>
            <w:r w:rsidR="00A35E0B">
              <w:rPr>
                <w:noProof/>
                <w:webHidden/>
              </w:rPr>
            </w:r>
            <w:r w:rsidR="00A35E0B">
              <w:rPr>
                <w:noProof/>
                <w:webHidden/>
              </w:rPr>
              <w:fldChar w:fldCharType="separate"/>
            </w:r>
            <w:r w:rsidR="00EC224A">
              <w:rPr>
                <w:noProof/>
                <w:webHidden/>
              </w:rPr>
              <w:t>70</w:t>
            </w:r>
            <w:r w:rsidR="00A35E0B">
              <w:rPr>
                <w:noProof/>
                <w:webHidden/>
              </w:rPr>
              <w:fldChar w:fldCharType="end"/>
            </w:r>
          </w:hyperlink>
        </w:p>
        <w:p w14:paraId="676071C7" w14:textId="77777777" w:rsidR="00A35E0B" w:rsidRDefault="00FE657D">
          <w:pPr>
            <w:pStyle w:val="TOC1"/>
            <w:rPr>
              <w:rFonts w:asciiTheme="minorHAnsi" w:eastAsiaTheme="minorEastAsia" w:hAnsiTheme="minorHAnsi" w:cstheme="minorBidi"/>
              <w:noProof/>
              <w:sz w:val="22"/>
              <w:szCs w:val="22"/>
              <w:lang w:eastAsia="lv-LV"/>
            </w:rPr>
          </w:pPr>
          <w:hyperlink w:anchor="_Toc416279088" w:history="1">
            <w:r w:rsidR="00A35E0B" w:rsidRPr="00F72A4D">
              <w:rPr>
                <w:rStyle w:val="Hyperlink"/>
                <w:rFonts w:eastAsiaTheme="majorEastAsia"/>
                <w:noProof/>
              </w:rPr>
              <w:t>Pielikumi</w:t>
            </w:r>
            <w:r w:rsidR="00A35E0B">
              <w:rPr>
                <w:noProof/>
                <w:webHidden/>
              </w:rPr>
              <w:tab/>
            </w:r>
            <w:r w:rsidR="00A35E0B">
              <w:rPr>
                <w:noProof/>
                <w:webHidden/>
              </w:rPr>
              <w:fldChar w:fldCharType="begin"/>
            </w:r>
            <w:r w:rsidR="00A35E0B">
              <w:rPr>
                <w:noProof/>
                <w:webHidden/>
              </w:rPr>
              <w:instrText xml:space="preserve"> PAGEREF _Toc416279088 \h </w:instrText>
            </w:r>
            <w:r w:rsidR="00A35E0B">
              <w:rPr>
                <w:noProof/>
                <w:webHidden/>
              </w:rPr>
            </w:r>
            <w:r w:rsidR="00A35E0B">
              <w:rPr>
                <w:noProof/>
                <w:webHidden/>
              </w:rPr>
              <w:fldChar w:fldCharType="separate"/>
            </w:r>
            <w:r w:rsidR="00EC224A">
              <w:rPr>
                <w:noProof/>
                <w:webHidden/>
              </w:rPr>
              <w:t>72</w:t>
            </w:r>
            <w:r w:rsidR="00A35E0B">
              <w:rPr>
                <w:noProof/>
                <w:webHidden/>
              </w:rPr>
              <w:fldChar w:fldCharType="end"/>
            </w:r>
          </w:hyperlink>
        </w:p>
        <w:p w14:paraId="5882CD8C" w14:textId="77777777" w:rsidR="00551458" w:rsidRDefault="00551458">
          <w:r>
            <w:rPr>
              <w:b/>
              <w:bCs/>
              <w:noProof/>
            </w:rPr>
            <w:fldChar w:fldCharType="end"/>
          </w:r>
        </w:p>
      </w:sdtContent>
    </w:sdt>
    <w:p w14:paraId="2D144ADA" w14:textId="77777777" w:rsidR="00551458" w:rsidRDefault="00551458">
      <w:pPr>
        <w:rPr>
          <w:rFonts w:ascii="Times New Roman" w:hAnsi="Times New Roman" w:cs="Times New Roman"/>
          <w:b/>
          <w:color w:val="000000"/>
          <w:sz w:val="28"/>
          <w:szCs w:val="24"/>
          <w:lang w:eastAsia="lv-LV"/>
        </w:rPr>
      </w:pPr>
    </w:p>
    <w:p w14:paraId="7E88629C" w14:textId="77777777" w:rsidR="00551458" w:rsidRDefault="00551458">
      <w:pPr>
        <w:rPr>
          <w:rFonts w:ascii="Times New Roman" w:hAnsi="Times New Roman" w:cs="Times New Roman"/>
          <w:b/>
          <w:color w:val="000000"/>
          <w:sz w:val="28"/>
          <w:szCs w:val="24"/>
          <w:lang w:eastAsia="lv-LV"/>
        </w:rPr>
      </w:pPr>
      <w:r>
        <w:rPr>
          <w:rFonts w:ascii="Times New Roman" w:hAnsi="Times New Roman" w:cs="Times New Roman"/>
          <w:b/>
          <w:color w:val="000000"/>
          <w:sz w:val="28"/>
          <w:szCs w:val="24"/>
          <w:lang w:eastAsia="lv-LV"/>
        </w:rPr>
        <w:br w:type="page"/>
      </w:r>
    </w:p>
    <w:p w14:paraId="513BFD92" w14:textId="77777777" w:rsidR="003F78CC" w:rsidRPr="00F51615" w:rsidRDefault="003F78CC" w:rsidP="003F78CC">
      <w:pPr>
        <w:tabs>
          <w:tab w:val="left" w:pos="3544"/>
        </w:tabs>
        <w:jc w:val="center"/>
        <w:rPr>
          <w:rFonts w:ascii="Times New Roman" w:hAnsi="Times New Roman" w:cs="Times New Roman"/>
          <w:b/>
          <w:color w:val="000000"/>
          <w:sz w:val="28"/>
          <w:szCs w:val="24"/>
          <w:lang w:eastAsia="lv-LV"/>
        </w:rPr>
      </w:pPr>
      <w:r w:rsidRPr="00F51615">
        <w:rPr>
          <w:rFonts w:ascii="Times New Roman" w:hAnsi="Times New Roman" w:cs="Times New Roman"/>
          <w:b/>
          <w:color w:val="000000"/>
          <w:sz w:val="28"/>
          <w:szCs w:val="24"/>
          <w:lang w:eastAsia="lv-LV"/>
        </w:rPr>
        <w:lastRenderedPageBreak/>
        <w:t>Saīsinājumu apzīmējumi</w:t>
      </w:r>
    </w:p>
    <w:p w14:paraId="057BB078" w14:textId="77777777" w:rsidR="003F78CC" w:rsidRPr="000047C9" w:rsidRDefault="003F78CC" w:rsidP="003F78CC">
      <w:pPr>
        <w:tabs>
          <w:tab w:val="left" w:pos="3544"/>
        </w:tabs>
        <w:rPr>
          <w:rFonts w:ascii="Times New Roman" w:hAnsi="Times New Roman" w:cs="Times New Roman"/>
          <w:color w:val="000000"/>
          <w:sz w:val="24"/>
          <w:szCs w:val="24"/>
          <w:lang w:eastAsia="lv-LV"/>
        </w:rPr>
      </w:pPr>
      <w:r w:rsidRPr="000047C9">
        <w:rPr>
          <w:rFonts w:ascii="Times New Roman" w:hAnsi="Times New Roman" w:cs="Times New Roman"/>
          <w:color w:val="000000"/>
          <w:sz w:val="24"/>
          <w:szCs w:val="24"/>
          <w:lang w:eastAsia="lv-LV"/>
        </w:rPr>
        <w:t>ASV</w:t>
      </w:r>
      <w:r w:rsidRPr="000047C9">
        <w:rPr>
          <w:rFonts w:ascii="Times New Roman" w:hAnsi="Times New Roman" w:cs="Times New Roman"/>
          <w:color w:val="000000"/>
          <w:sz w:val="24"/>
          <w:szCs w:val="24"/>
          <w:lang w:eastAsia="lv-LV"/>
        </w:rPr>
        <w:tab/>
        <w:t>Amerikas Savienotās valstis</w:t>
      </w:r>
    </w:p>
    <w:p w14:paraId="752DAAAE" w14:textId="55D4D41C" w:rsidR="003F78CC" w:rsidRDefault="00CE3B47" w:rsidP="003F78CC">
      <w:pPr>
        <w:tabs>
          <w:tab w:val="left" w:pos="1276"/>
        </w:tabs>
        <w:ind w:left="3600" w:hanging="3600"/>
        <w:rPr>
          <w:rFonts w:ascii="Times New Roman" w:hAnsi="Times New Roman" w:cs="Times New Roman"/>
          <w:sz w:val="24"/>
        </w:rPr>
      </w:pPr>
      <w:r>
        <w:rPr>
          <w:rFonts w:ascii="Times New Roman" w:hAnsi="Times New Roman" w:cs="Times New Roman"/>
          <w:sz w:val="24"/>
        </w:rPr>
        <w:t xml:space="preserve">AWG </w:t>
      </w:r>
      <w:r>
        <w:rPr>
          <w:rFonts w:ascii="Times New Roman" w:hAnsi="Times New Roman" w:cs="Times New Roman"/>
          <w:sz w:val="24"/>
        </w:rPr>
        <w:tab/>
      </w:r>
      <w:r>
        <w:rPr>
          <w:rFonts w:ascii="Times New Roman" w:hAnsi="Times New Roman" w:cs="Times New Roman"/>
          <w:sz w:val="24"/>
        </w:rPr>
        <w:tab/>
      </w:r>
      <w:r w:rsidR="003F78CC" w:rsidRPr="000047C9">
        <w:rPr>
          <w:rFonts w:ascii="Times New Roman" w:hAnsi="Times New Roman" w:cs="Times New Roman"/>
          <w:sz w:val="24"/>
        </w:rPr>
        <w:t>Ekonomikas politikas komitejas Sabiedrības novecošanās un valsts finanšu ilgtspējas darba grupa</w:t>
      </w:r>
    </w:p>
    <w:p w14:paraId="30EB554E" w14:textId="103955A3" w:rsidR="004E0D45" w:rsidRDefault="004E0D45" w:rsidP="003F78CC">
      <w:pPr>
        <w:tabs>
          <w:tab w:val="left" w:pos="1276"/>
        </w:tabs>
        <w:ind w:left="3600" w:hanging="3600"/>
        <w:rPr>
          <w:rFonts w:ascii="Times New Roman" w:hAnsi="Times New Roman" w:cs="Times New Roman"/>
          <w:sz w:val="24"/>
        </w:rPr>
      </w:pPr>
      <w:r>
        <w:rPr>
          <w:rFonts w:ascii="Times New Roman" w:hAnsi="Times New Roman" w:cs="Times New Roman"/>
          <w:sz w:val="24"/>
        </w:rPr>
        <w:t>ĀTI</w:t>
      </w:r>
      <w:r>
        <w:rPr>
          <w:rFonts w:ascii="Times New Roman" w:hAnsi="Times New Roman" w:cs="Times New Roman"/>
          <w:sz w:val="24"/>
        </w:rPr>
        <w:tab/>
      </w:r>
      <w:r>
        <w:rPr>
          <w:rFonts w:ascii="Times New Roman" w:hAnsi="Times New Roman" w:cs="Times New Roman"/>
          <w:sz w:val="24"/>
        </w:rPr>
        <w:tab/>
        <w:t>Ārvalstu tiešās investīcijas</w:t>
      </w:r>
    </w:p>
    <w:p w14:paraId="73F9D32A" w14:textId="77777777" w:rsidR="003F78CC" w:rsidRDefault="003F78CC" w:rsidP="003F78CC">
      <w:pPr>
        <w:tabs>
          <w:tab w:val="left" w:pos="3544"/>
        </w:tabs>
        <w:rPr>
          <w:rFonts w:ascii="Times New Roman" w:hAnsi="Times New Roman" w:cs="Times New Roman"/>
          <w:color w:val="000000"/>
          <w:sz w:val="24"/>
        </w:rPr>
      </w:pPr>
      <w:r w:rsidRPr="000047C9">
        <w:rPr>
          <w:rFonts w:ascii="Times New Roman" w:hAnsi="Times New Roman" w:cs="Times New Roman"/>
          <w:color w:val="000000"/>
          <w:sz w:val="24"/>
          <w:szCs w:val="24"/>
          <w:lang w:eastAsia="lv-LV"/>
        </w:rPr>
        <w:t xml:space="preserve">CSP </w:t>
      </w:r>
      <w:r w:rsidRPr="000047C9">
        <w:rPr>
          <w:rFonts w:ascii="Times New Roman" w:hAnsi="Times New Roman" w:cs="Times New Roman"/>
          <w:color w:val="000000"/>
          <w:sz w:val="24"/>
          <w:szCs w:val="24"/>
          <w:lang w:eastAsia="lv-LV"/>
        </w:rPr>
        <w:tab/>
      </w:r>
      <w:r w:rsidRPr="000047C9">
        <w:rPr>
          <w:rFonts w:ascii="Times New Roman" w:hAnsi="Times New Roman" w:cs="Times New Roman"/>
          <w:color w:val="000000"/>
          <w:sz w:val="24"/>
        </w:rPr>
        <w:t>Centrālā statistikas pārvalde</w:t>
      </w:r>
    </w:p>
    <w:p w14:paraId="1D8951D7" w14:textId="3FD49619" w:rsidR="004E0D45" w:rsidRPr="000047C9" w:rsidRDefault="004E0D45" w:rsidP="003F78CC">
      <w:pPr>
        <w:tabs>
          <w:tab w:val="left" w:pos="3544"/>
        </w:tabs>
        <w:rPr>
          <w:rFonts w:ascii="Times New Roman" w:hAnsi="Times New Roman" w:cs="Times New Roman"/>
          <w:color w:val="000000"/>
          <w:sz w:val="24"/>
          <w:szCs w:val="24"/>
          <w:lang w:eastAsia="lv-LV"/>
        </w:rPr>
      </w:pPr>
      <w:r>
        <w:rPr>
          <w:rFonts w:ascii="Times New Roman" w:hAnsi="Times New Roman" w:cs="Times New Roman"/>
          <w:color w:val="000000"/>
          <w:sz w:val="24"/>
        </w:rPr>
        <w:t>ECB</w:t>
      </w:r>
      <w:r>
        <w:rPr>
          <w:rFonts w:ascii="Times New Roman" w:hAnsi="Times New Roman" w:cs="Times New Roman"/>
          <w:color w:val="000000"/>
          <w:sz w:val="24"/>
        </w:rPr>
        <w:tab/>
        <w:t>Eiropas Centrālā banka</w:t>
      </w:r>
    </w:p>
    <w:p w14:paraId="5226D922" w14:textId="77777777" w:rsidR="003F78CC" w:rsidRPr="000047C9" w:rsidRDefault="003F78CC" w:rsidP="003F78CC">
      <w:pPr>
        <w:tabs>
          <w:tab w:val="left" w:pos="3544"/>
        </w:tabs>
        <w:rPr>
          <w:rFonts w:ascii="Times New Roman" w:hAnsi="Times New Roman" w:cs="Times New Roman"/>
          <w:color w:val="000000"/>
          <w:sz w:val="24"/>
          <w:szCs w:val="24"/>
          <w:lang w:eastAsia="lv-LV"/>
        </w:rPr>
      </w:pPr>
      <w:r w:rsidRPr="000047C9">
        <w:rPr>
          <w:rFonts w:ascii="Times New Roman" w:hAnsi="Times New Roman" w:cs="Times New Roman"/>
          <w:color w:val="000000"/>
          <w:sz w:val="24"/>
          <w:szCs w:val="24"/>
          <w:lang w:eastAsia="lv-LV"/>
        </w:rPr>
        <w:t xml:space="preserve">EK </w:t>
      </w:r>
      <w:r w:rsidRPr="000047C9">
        <w:rPr>
          <w:rFonts w:ascii="Times New Roman" w:hAnsi="Times New Roman" w:cs="Times New Roman"/>
          <w:color w:val="000000"/>
          <w:sz w:val="24"/>
          <w:szCs w:val="24"/>
          <w:lang w:eastAsia="lv-LV"/>
        </w:rPr>
        <w:tab/>
        <w:t>Eiropas Komisija</w:t>
      </w:r>
    </w:p>
    <w:p w14:paraId="3764D654" w14:textId="4CEE893C" w:rsidR="003F78CC" w:rsidRPr="000047C9" w:rsidRDefault="00E42D7B" w:rsidP="003F78CC">
      <w:pPr>
        <w:tabs>
          <w:tab w:val="left" w:pos="3544"/>
        </w:tabs>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EKS </w:t>
      </w:r>
      <w:r>
        <w:rPr>
          <w:rFonts w:ascii="Times New Roman" w:hAnsi="Times New Roman" w:cs="Times New Roman"/>
          <w:color w:val="000000"/>
          <w:sz w:val="24"/>
          <w:szCs w:val="24"/>
          <w:lang w:eastAsia="lv-LV"/>
        </w:rPr>
        <w:tab/>
        <w:t>Eiropas K</w:t>
      </w:r>
      <w:r w:rsidR="003F78CC" w:rsidRPr="000047C9">
        <w:rPr>
          <w:rFonts w:ascii="Times New Roman" w:hAnsi="Times New Roman" w:cs="Times New Roman"/>
          <w:color w:val="000000"/>
          <w:sz w:val="24"/>
          <w:szCs w:val="24"/>
          <w:lang w:eastAsia="lv-LV"/>
        </w:rPr>
        <w:t>ontu sistēma</w:t>
      </w:r>
    </w:p>
    <w:p w14:paraId="327F1A5A" w14:textId="77777777" w:rsidR="003F78CC" w:rsidRPr="000047C9" w:rsidRDefault="003F78CC" w:rsidP="003F78CC">
      <w:pPr>
        <w:tabs>
          <w:tab w:val="left" w:pos="3544"/>
        </w:tabs>
        <w:rPr>
          <w:rFonts w:ascii="Times New Roman" w:hAnsi="Times New Roman" w:cs="Times New Roman"/>
          <w:color w:val="000000"/>
          <w:sz w:val="24"/>
          <w:szCs w:val="24"/>
          <w:lang w:eastAsia="lv-LV"/>
        </w:rPr>
      </w:pPr>
      <w:r w:rsidRPr="000047C9">
        <w:rPr>
          <w:rFonts w:ascii="Times New Roman" w:hAnsi="Times New Roman" w:cs="Times New Roman"/>
          <w:color w:val="000000"/>
          <w:sz w:val="24"/>
          <w:szCs w:val="24"/>
          <w:lang w:eastAsia="lv-LV"/>
        </w:rPr>
        <w:t xml:space="preserve">ES </w:t>
      </w:r>
      <w:r w:rsidRPr="000047C9">
        <w:rPr>
          <w:rFonts w:ascii="Times New Roman" w:hAnsi="Times New Roman" w:cs="Times New Roman"/>
          <w:color w:val="000000"/>
          <w:sz w:val="24"/>
          <w:szCs w:val="24"/>
          <w:lang w:eastAsia="lv-LV"/>
        </w:rPr>
        <w:tab/>
        <w:t>Eiropas Savienība</w:t>
      </w:r>
    </w:p>
    <w:p w14:paraId="5122AD42" w14:textId="77777777" w:rsidR="003F78CC" w:rsidRPr="000047C9" w:rsidRDefault="003F78CC" w:rsidP="003F78CC">
      <w:pPr>
        <w:tabs>
          <w:tab w:val="left" w:pos="3544"/>
        </w:tabs>
        <w:rPr>
          <w:rFonts w:ascii="Times New Roman" w:hAnsi="Times New Roman" w:cs="Times New Roman"/>
          <w:color w:val="000000"/>
          <w:sz w:val="24"/>
          <w:szCs w:val="24"/>
          <w:lang w:eastAsia="lv-LV"/>
        </w:rPr>
      </w:pPr>
      <w:r w:rsidRPr="000047C9">
        <w:rPr>
          <w:rFonts w:ascii="Times New Roman" w:hAnsi="Times New Roman" w:cs="Times New Roman"/>
          <w:color w:val="000000"/>
          <w:sz w:val="24"/>
          <w:szCs w:val="24"/>
          <w:lang w:eastAsia="lv-LV"/>
        </w:rPr>
        <w:t xml:space="preserve">FM </w:t>
      </w:r>
      <w:r w:rsidRPr="000047C9">
        <w:rPr>
          <w:rFonts w:ascii="Times New Roman" w:hAnsi="Times New Roman" w:cs="Times New Roman"/>
          <w:color w:val="000000"/>
          <w:sz w:val="24"/>
          <w:szCs w:val="24"/>
          <w:lang w:eastAsia="lv-LV"/>
        </w:rPr>
        <w:tab/>
      </w:r>
      <w:r w:rsidRPr="000047C9">
        <w:rPr>
          <w:rFonts w:ascii="Times New Roman" w:hAnsi="Times New Roman" w:cs="Times New Roman"/>
          <w:sz w:val="24"/>
        </w:rPr>
        <w:t>Finanšu ministrija</w:t>
      </w:r>
    </w:p>
    <w:p w14:paraId="3A5DB084" w14:textId="77777777" w:rsidR="003F78CC" w:rsidRPr="000047C9" w:rsidRDefault="003F78CC" w:rsidP="003F78CC">
      <w:pPr>
        <w:tabs>
          <w:tab w:val="left" w:pos="3544"/>
        </w:tabs>
        <w:rPr>
          <w:rFonts w:ascii="Times New Roman" w:hAnsi="Times New Roman" w:cs="Times New Roman"/>
          <w:color w:val="000000"/>
          <w:sz w:val="24"/>
          <w:szCs w:val="24"/>
          <w:lang w:eastAsia="lv-LV"/>
        </w:rPr>
      </w:pPr>
      <w:r w:rsidRPr="000047C9">
        <w:rPr>
          <w:rFonts w:ascii="Times New Roman" w:hAnsi="Times New Roman" w:cs="Times New Roman"/>
          <w:color w:val="000000"/>
          <w:sz w:val="24"/>
          <w:szCs w:val="24"/>
          <w:lang w:eastAsia="lv-LV"/>
        </w:rPr>
        <w:t xml:space="preserve">FDL </w:t>
      </w:r>
      <w:r w:rsidRPr="000047C9">
        <w:rPr>
          <w:rFonts w:ascii="Times New Roman" w:hAnsi="Times New Roman" w:cs="Times New Roman"/>
          <w:color w:val="000000"/>
          <w:sz w:val="24"/>
          <w:szCs w:val="24"/>
          <w:lang w:eastAsia="lv-LV"/>
        </w:rPr>
        <w:tab/>
        <w:t>Fiskālās disciplīnas likums</w:t>
      </w:r>
    </w:p>
    <w:p w14:paraId="3749953D" w14:textId="77777777" w:rsidR="003F78CC" w:rsidRPr="000047C9" w:rsidRDefault="003F78CC" w:rsidP="003F78CC">
      <w:pPr>
        <w:ind w:left="3544" w:hanging="3544"/>
        <w:rPr>
          <w:rFonts w:ascii="Times New Roman" w:hAnsi="Times New Roman" w:cs="Times New Roman"/>
          <w:color w:val="000000" w:themeColor="text1"/>
          <w:sz w:val="24"/>
        </w:rPr>
      </w:pPr>
      <w:r w:rsidRPr="000047C9">
        <w:rPr>
          <w:rFonts w:ascii="Times New Roman" w:hAnsi="Times New Roman" w:cs="Times New Roman"/>
          <w:color w:val="000000" w:themeColor="text1"/>
          <w:sz w:val="24"/>
        </w:rPr>
        <w:t xml:space="preserve">Ietvara likums </w:t>
      </w:r>
      <w:r w:rsidRPr="000047C9">
        <w:rPr>
          <w:rFonts w:ascii="Times New Roman" w:hAnsi="Times New Roman" w:cs="Times New Roman"/>
          <w:color w:val="000000" w:themeColor="text1"/>
          <w:sz w:val="24"/>
        </w:rPr>
        <w:tab/>
        <w:t>Vidēja termiņa budžeta ietvara likums</w:t>
      </w:r>
    </w:p>
    <w:p w14:paraId="1CEF2479" w14:textId="77777777" w:rsidR="003F78CC" w:rsidRPr="000047C9" w:rsidRDefault="003F78CC" w:rsidP="003F78CC">
      <w:pPr>
        <w:ind w:left="3544" w:hanging="3544"/>
        <w:rPr>
          <w:rFonts w:ascii="Times New Roman" w:hAnsi="Times New Roman" w:cs="Times New Roman"/>
          <w:sz w:val="24"/>
          <w:szCs w:val="24"/>
          <w:lang w:eastAsia="x-none"/>
        </w:rPr>
      </w:pPr>
      <w:r w:rsidRPr="000047C9">
        <w:rPr>
          <w:rFonts w:ascii="Times New Roman" w:hAnsi="Times New Roman" w:cs="Times New Roman"/>
          <w:sz w:val="24"/>
        </w:rPr>
        <w:t xml:space="preserve">Ietvars </w:t>
      </w:r>
      <w:r w:rsidRPr="000047C9">
        <w:rPr>
          <w:rFonts w:ascii="Times New Roman" w:hAnsi="Times New Roman" w:cs="Times New Roman"/>
          <w:sz w:val="24"/>
        </w:rPr>
        <w:tab/>
        <w:t>Vidēja termiņa makroekonomiskās attīstības un fiskālās politikas ietvars</w:t>
      </w:r>
    </w:p>
    <w:p w14:paraId="1D56EB3C" w14:textId="77777777" w:rsidR="003F78CC" w:rsidRPr="000047C9" w:rsidRDefault="003F78CC" w:rsidP="003F78CC">
      <w:pPr>
        <w:tabs>
          <w:tab w:val="left" w:pos="3544"/>
        </w:tabs>
        <w:rPr>
          <w:rFonts w:ascii="Times New Roman" w:hAnsi="Times New Roman" w:cs="Times New Roman"/>
          <w:color w:val="000000"/>
          <w:sz w:val="24"/>
          <w:szCs w:val="24"/>
          <w:lang w:eastAsia="lv-LV"/>
        </w:rPr>
      </w:pPr>
      <w:r w:rsidRPr="000047C9">
        <w:rPr>
          <w:rFonts w:ascii="Times New Roman" w:hAnsi="Times New Roman" w:cs="Times New Roman"/>
          <w:color w:val="000000"/>
          <w:sz w:val="24"/>
          <w:szCs w:val="24"/>
          <w:lang w:eastAsia="lv-LV"/>
        </w:rPr>
        <w:t>IIN</w:t>
      </w:r>
      <w:r w:rsidRPr="000047C9">
        <w:rPr>
          <w:rFonts w:ascii="Times New Roman" w:hAnsi="Times New Roman" w:cs="Times New Roman"/>
          <w:color w:val="000000"/>
          <w:sz w:val="24"/>
          <w:szCs w:val="24"/>
          <w:lang w:eastAsia="lv-LV"/>
        </w:rPr>
        <w:tab/>
        <w:t>Iedzīvotāju ienākumu nodoklis</w:t>
      </w:r>
    </w:p>
    <w:p w14:paraId="2A8B15E5" w14:textId="77777777" w:rsidR="003F78CC" w:rsidRPr="004E0D45" w:rsidRDefault="003F78CC" w:rsidP="003F78CC">
      <w:pPr>
        <w:tabs>
          <w:tab w:val="left" w:pos="3544"/>
        </w:tabs>
        <w:rPr>
          <w:rFonts w:ascii="Times New Roman" w:hAnsi="Times New Roman" w:cs="Times New Roman"/>
          <w:color w:val="000000"/>
          <w:sz w:val="24"/>
          <w:szCs w:val="24"/>
          <w:lang w:eastAsia="lv-LV"/>
        </w:rPr>
      </w:pPr>
      <w:r w:rsidRPr="004E0D45">
        <w:rPr>
          <w:rFonts w:ascii="Times New Roman" w:hAnsi="Times New Roman" w:cs="Times New Roman"/>
          <w:color w:val="000000"/>
          <w:sz w:val="24"/>
          <w:szCs w:val="24"/>
          <w:lang w:eastAsia="lv-LV"/>
        </w:rPr>
        <w:t xml:space="preserve">IKP </w:t>
      </w:r>
      <w:r w:rsidRPr="004E0D45">
        <w:rPr>
          <w:rFonts w:ascii="Times New Roman" w:hAnsi="Times New Roman" w:cs="Times New Roman"/>
          <w:color w:val="000000"/>
          <w:sz w:val="24"/>
          <w:szCs w:val="24"/>
          <w:lang w:eastAsia="lv-LV"/>
        </w:rPr>
        <w:tab/>
        <w:t>Iekšzemes kopprodukts</w:t>
      </w:r>
    </w:p>
    <w:p w14:paraId="34D3B567" w14:textId="77777777" w:rsidR="003F78CC" w:rsidRPr="004E0D45" w:rsidRDefault="003F78CC" w:rsidP="003F78CC">
      <w:pPr>
        <w:tabs>
          <w:tab w:val="left" w:pos="3544"/>
        </w:tabs>
        <w:rPr>
          <w:rFonts w:ascii="Times New Roman" w:hAnsi="Times New Roman" w:cs="Times New Roman"/>
          <w:color w:val="000000"/>
          <w:sz w:val="24"/>
          <w:szCs w:val="24"/>
          <w:lang w:eastAsia="lv-LV"/>
        </w:rPr>
      </w:pPr>
      <w:r w:rsidRPr="004E0D45">
        <w:rPr>
          <w:rFonts w:ascii="Times New Roman" w:hAnsi="Times New Roman" w:cs="Times New Roman"/>
          <w:sz w:val="24"/>
        </w:rPr>
        <w:t xml:space="preserve">JPI </w:t>
      </w:r>
      <w:r w:rsidRPr="004E0D45">
        <w:rPr>
          <w:rFonts w:ascii="Times New Roman" w:hAnsi="Times New Roman" w:cs="Times New Roman"/>
          <w:sz w:val="24"/>
        </w:rPr>
        <w:tab/>
        <w:t>Jaunās politikas iniciatīvas</w:t>
      </w:r>
    </w:p>
    <w:p w14:paraId="7C47DA85" w14:textId="77777777" w:rsidR="003F78CC" w:rsidRPr="004E0D45" w:rsidRDefault="003F78CC" w:rsidP="003F78CC">
      <w:pPr>
        <w:tabs>
          <w:tab w:val="left" w:pos="3544"/>
        </w:tabs>
        <w:rPr>
          <w:rFonts w:ascii="Times New Roman" w:hAnsi="Times New Roman" w:cs="Times New Roman"/>
          <w:color w:val="000000"/>
          <w:sz w:val="24"/>
          <w:szCs w:val="24"/>
          <w:lang w:eastAsia="lv-LV"/>
        </w:rPr>
      </w:pPr>
      <w:r w:rsidRPr="004E0D45">
        <w:rPr>
          <w:rFonts w:ascii="Times New Roman" w:hAnsi="Times New Roman" w:cs="Times New Roman"/>
          <w:color w:val="000000"/>
          <w:sz w:val="24"/>
          <w:szCs w:val="24"/>
          <w:lang w:eastAsia="lv-LV"/>
        </w:rPr>
        <w:t xml:space="preserve">LPS </w:t>
      </w:r>
      <w:r w:rsidRPr="004E0D45">
        <w:rPr>
          <w:rFonts w:ascii="Times New Roman" w:hAnsi="Times New Roman" w:cs="Times New Roman"/>
          <w:color w:val="000000"/>
          <w:sz w:val="24"/>
          <w:szCs w:val="24"/>
          <w:lang w:eastAsia="lv-LV"/>
        </w:rPr>
        <w:tab/>
        <w:t>Latvijas Pašvaldību savienība</w:t>
      </w:r>
    </w:p>
    <w:p w14:paraId="6B9707F1" w14:textId="77777777" w:rsidR="003F78CC" w:rsidRPr="000047C9" w:rsidRDefault="003F78CC" w:rsidP="003F78CC">
      <w:pPr>
        <w:tabs>
          <w:tab w:val="left" w:pos="3544"/>
        </w:tabs>
        <w:rPr>
          <w:rFonts w:ascii="Times New Roman" w:hAnsi="Times New Roman" w:cs="Times New Roman"/>
          <w:color w:val="000000"/>
          <w:sz w:val="24"/>
          <w:szCs w:val="24"/>
          <w:lang w:eastAsia="lv-LV"/>
        </w:rPr>
      </w:pPr>
      <w:r w:rsidRPr="004E0D45">
        <w:rPr>
          <w:rFonts w:ascii="Times New Roman" w:hAnsi="Times New Roman" w:cs="Times New Roman"/>
          <w:sz w:val="24"/>
          <w:szCs w:val="24"/>
        </w:rPr>
        <w:t xml:space="preserve">LBFV </w:t>
      </w:r>
      <w:r w:rsidRPr="004E0D45">
        <w:rPr>
          <w:rFonts w:ascii="Times New Roman" w:hAnsi="Times New Roman" w:cs="Times New Roman"/>
          <w:sz w:val="24"/>
          <w:szCs w:val="24"/>
        </w:rPr>
        <w:tab/>
        <w:t>Likums par budžetu un finanšu</w:t>
      </w:r>
      <w:r w:rsidRPr="000047C9">
        <w:rPr>
          <w:rFonts w:ascii="Times New Roman" w:hAnsi="Times New Roman" w:cs="Times New Roman"/>
          <w:sz w:val="24"/>
          <w:szCs w:val="24"/>
        </w:rPr>
        <w:t xml:space="preserve"> vadību</w:t>
      </w:r>
    </w:p>
    <w:p w14:paraId="1C188A7C" w14:textId="77777777" w:rsidR="003F78CC" w:rsidRPr="000047C9" w:rsidRDefault="003F78CC" w:rsidP="003F78CC">
      <w:pPr>
        <w:tabs>
          <w:tab w:val="left" w:pos="3544"/>
        </w:tabs>
        <w:rPr>
          <w:rFonts w:ascii="Times New Roman" w:hAnsi="Times New Roman" w:cs="Times New Roman"/>
          <w:color w:val="000000"/>
          <w:sz w:val="24"/>
          <w:szCs w:val="24"/>
          <w:lang w:eastAsia="lv-LV"/>
        </w:rPr>
      </w:pPr>
      <w:r w:rsidRPr="000047C9">
        <w:rPr>
          <w:rFonts w:ascii="Times New Roman" w:hAnsi="Times New Roman" w:cs="Times New Roman"/>
          <w:color w:val="000000"/>
          <w:sz w:val="24"/>
          <w:szCs w:val="24"/>
          <w:lang w:eastAsia="lv-LV"/>
        </w:rPr>
        <w:t xml:space="preserve">MK </w:t>
      </w:r>
      <w:r w:rsidRPr="000047C9">
        <w:rPr>
          <w:rFonts w:ascii="Times New Roman" w:hAnsi="Times New Roman" w:cs="Times New Roman"/>
          <w:color w:val="000000"/>
          <w:sz w:val="24"/>
          <w:szCs w:val="24"/>
          <w:lang w:eastAsia="lv-LV"/>
        </w:rPr>
        <w:tab/>
        <w:t>Ministru kabinets</w:t>
      </w:r>
    </w:p>
    <w:p w14:paraId="74857A1B" w14:textId="60DA0DE9" w:rsidR="003F78CC" w:rsidRPr="000047C9" w:rsidRDefault="003F78CC" w:rsidP="003F78CC">
      <w:pPr>
        <w:tabs>
          <w:tab w:val="left" w:pos="3570"/>
        </w:tabs>
        <w:rPr>
          <w:rFonts w:ascii="Times New Roman" w:hAnsi="Times New Roman" w:cs="Times New Roman"/>
          <w:color w:val="000000"/>
          <w:sz w:val="24"/>
          <w:szCs w:val="24"/>
          <w:lang w:eastAsia="lv-LV"/>
        </w:rPr>
      </w:pPr>
      <w:r w:rsidRPr="000047C9">
        <w:rPr>
          <w:rFonts w:ascii="Times New Roman" w:hAnsi="Times New Roman" w:cs="Times New Roman"/>
          <w:color w:val="000000"/>
          <w:sz w:val="24"/>
          <w:szCs w:val="24"/>
          <w:lang w:eastAsia="lv-LV"/>
        </w:rPr>
        <w:t>NAP</w:t>
      </w:r>
      <w:r w:rsidR="00CE3B47">
        <w:rPr>
          <w:rFonts w:ascii="Times New Roman" w:hAnsi="Times New Roman" w:cs="Times New Roman"/>
          <w:color w:val="000000"/>
          <w:sz w:val="24"/>
          <w:szCs w:val="24"/>
          <w:lang w:eastAsia="lv-LV"/>
        </w:rPr>
        <w:t xml:space="preserve"> 2020</w:t>
      </w:r>
      <w:r w:rsidRPr="000047C9">
        <w:rPr>
          <w:rFonts w:ascii="Times New Roman" w:hAnsi="Times New Roman" w:cs="Times New Roman"/>
          <w:color w:val="000000"/>
          <w:sz w:val="24"/>
          <w:szCs w:val="24"/>
          <w:lang w:eastAsia="lv-LV"/>
        </w:rPr>
        <w:tab/>
        <w:t xml:space="preserve">Nacionālās attīstības plāns </w:t>
      </w:r>
      <w:r w:rsidRPr="000047C9">
        <w:rPr>
          <w:rFonts w:ascii="Times New Roman" w:hAnsi="Times New Roman" w:cs="Times New Roman"/>
          <w:sz w:val="24"/>
          <w:szCs w:val="24"/>
        </w:rPr>
        <w:t>2014.-2020.gadam</w:t>
      </w:r>
    </w:p>
    <w:p w14:paraId="036A277F" w14:textId="77777777" w:rsidR="003F78CC" w:rsidRDefault="003F78CC" w:rsidP="003F78CC">
      <w:pPr>
        <w:tabs>
          <w:tab w:val="left" w:pos="3544"/>
        </w:tabs>
        <w:ind w:left="3537" w:hanging="3537"/>
        <w:rPr>
          <w:rFonts w:ascii="Times New Roman" w:hAnsi="Times New Roman" w:cs="Times New Roman"/>
          <w:color w:val="000000"/>
          <w:sz w:val="24"/>
          <w:szCs w:val="24"/>
          <w:lang w:eastAsia="lv-LV"/>
        </w:rPr>
      </w:pPr>
      <w:r w:rsidRPr="000047C9">
        <w:rPr>
          <w:rFonts w:ascii="Times New Roman" w:hAnsi="Times New Roman" w:cs="Times New Roman"/>
          <w:color w:val="000000"/>
          <w:sz w:val="24"/>
          <w:szCs w:val="24"/>
          <w:lang w:eastAsia="lv-LV"/>
        </w:rPr>
        <w:t xml:space="preserve">NRP </w:t>
      </w:r>
      <w:r w:rsidRPr="000047C9">
        <w:rPr>
          <w:rFonts w:ascii="Times New Roman" w:hAnsi="Times New Roman" w:cs="Times New Roman"/>
          <w:color w:val="000000"/>
          <w:sz w:val="24"/>
          <w:szCs w:val="24"/>
          <w:lang w:eastAsia="lv-LV"/>
        </w:rPr>
        <w:tab/>
      </w:r>
      <w:r w:rsidRPr="000047C9">
        <w:rPr>
          <w:rFonts w:ascii="Times New Roman" w:hAnsi="Times New Roman" w:cs="Times New Roman"/>
          <w:color w:val="000000"/>
          <w:sz w:val="24"/>
          <w:szCs w:val="24"/>
          <w:lang w:eastAsia="lv-LV"/>
        </w:rPr>
        <w:tab/>
        <w:t>Latvijas nacionālā reformu programma „Eiropa 2020” stratēģijas īstenošanai</w:t>
      </w:r>
    </w:p>
    <w:p w14:paraId="598F18F1" w14:textId="2D7183B0" w:rsidR="004E0D45" w:rsidRPr="000047C9" w:rsidRDefault="004E0D45" w:rsidP="003F78CC">
      <w:pPr>
        <w:tabs>
          <w:tab w:val="left" w:pos="3544"/>
        </w:tabs>
        <w:ind w:left="3537" w:hanging="3537"/>
        <w:rPr>
          <w:rFonts w:ascii="Times New Roman" w:hAnsi="Times New Roman" w:cs="Times New Roman"/>
          <w:sz w:val="24"/>
          <w:szCs w:val="24"/>
        </w:rPr>
      </w:pPr>
      <w:r>
        <w:rPr>
          <w:rFonts w:ascii="Times New Roman" w:hAnsi="Times New Roman" w:cs="Times New Roman"/>
          <w:color w:val="000000"/>
          <w:sz w:val="24"/>
          <w:szCs w:val="24"/>
          <w:lang w:eastAsia="lv-LV"/>
        </w:rPr>
        <w:t>NVS</w:t>
      </w:r>
      <w:r>
        <w:rPr>
          <w:rFonts w:ascii="Times New Roman" w:hAnsi="Times New Roman" w:cs="Times New Roman"/>
          <w:color w:val="000000"/>
          <w:sz w:val="24"/>
          <w:szCs w:val="24"/>
          <w:lang w:eastAsia="lv-LV"/>
        </w:rPr>
        <w:tab/>
        <w:t>Nacionālo Valstu Sadraudzība</w:t>
      </w:r>
    </w:p>
    <w:p w14:paraId="7DDCF800" w14:textId="77777777" w:rsidR="003F78CC" w:rsidRPr="000047C9" w:rsidRDefault="003F78CC" w:rsidP="003F78CC">
      <w:pPr>
        <w:tabs>
          <w:tab w:val="left" w:pos="3585"/>
        </w:tabs>
        <w:rPr>
          <w:rFonts w:ascii="Times New Roman" w:hAnsi="Times New Roman" w:cs="Times New Roman"/>
          <w:sz w:val="24"/>
          <w:szCs w:val="24"/>
        </w:rPr>
      </w:pPr>
      <w:r w:rsidRPr="000047C9">
        <w:rPr>
          <w:rFonts w:ascii="Times New Roman" w:hAnsi="Times New Roman" w:cs="Times New Roman"/>
          <w:sz w:val="24"/>
          <w:szCs w:val="24"/>
        </w:rPr>
        <w:t>PVN</w:t>
      </w:r>
      <w:r w:rsidRPr="000047C9">
        <w:rPr>
          <w:rFonts w:ascii="Times New Roman" w:hAnsi="Times New Roman" w:cs="Times New Roman"/>
          <w:sz w:val="24"/>
          <w:szCs w:val="24"/>
        </w:rPr>
        <w:tab/>
        <w:t>Pievienotās vērtības nodoklis</w:t>
      </w:r>
    </w:p>
    <w:p w14:paraId="21231E33" w14:textId="77777777" w:rsidR="003F78CC" w:rsidRDefault="003F78CC" w:rsidP="003F78CC">
      <w:pPr>
        <w:ind w:left="3544" w:hanging="3544"/>
        <w:rPr>
          <w:rFonts w:ascii="Times New Roman" w:hAnsi="Times New Roman" w:cs="Times New Roman"/>
          <w:sz w:val="24"/>
          <w:szCs w:val="24"/>
        </w:rPr>
      </w:pPr>
      <w:r w:rsidRPr="000047C9">
        <w:rPr>
          <w:rFonts w:ascii="Times New Roman" w:hAnsi="Times New Roman" w:cs="Times New Roman"/>
          <w:sz w:val="24"/>
          <w:szCs w:val="24"/>
        </w:rPr>
        <w:t xml:space="preserve">Protokola projekts  </w:t>
      </w:r>
      <w:r w:rsidRPr="000047C9">
        <w:rPr>
          <w:rFonts w:ascii="Times New Roman" w:hAnsi="Times New Roman" w:cs="Times New Roman"/>
          <w:sz w:val="24"/>
          <w:szCs w:val="24"/>
        </w:rPr>
        <w:tab/>
        <w:t>MK un LPS domstarpību un vienošanās protokola projekts</w:t>
      </w:r>
    </w:p>
    <w:p w14:paraId="016B8111" w14:textId="34C25024" w:rsidR="004E0D45" w:rsidRPr="000047C9" w:rsidRDefault="004E0D45" w:rsidP="003F78CC">
      <w:pPr>
        <w:ind w:left="3544" w:hanging="3544"/>
        <w:rPr>
          <w:rFonts w:ascii="Times New Roman" w:hAnsi="Times New Roman" w:cs="Times New Roman"/>
          <w:color w:val="000000"/>
          <w:sz w:val="24"/>
          <w:szCs w:val="24"/>
          <w:lang w:eastAsia="lv-LV"/>
        </w:rPr>
      </w:pPr>
      <w:r>
        <w:rPr>
          <w:rFonts w:ascii="Times New Roman" w:hAnsi="Times New Roman" w:cs="Times New Roman"/>
          <w:sz w:val="24"/>
          <w:szCs w:val="24"/>
        </w:rPr>
        <w:t>PZDG</w:t>
      </w:r>
      <w:r>
        <w:rPr>
          <w:rFonts w:ascii="Times New Roman" w:hAnsi="Times New Roman" w:cs="Times New Roman"/>
          <w:sz w:val="24"/>
          <w:szCs w:val="24"/>
        </w:rPr>
        <w:tab/>
        <w:t>Potenciāli zaudētie dzīves gadi</w:t>
      </w:r>
    </w:p>
    <w:p w14:paraId="5B4A4A4A" w14:textId="77777777" w:rsidR="003F78CC" w:rsidRPr="000047C9" w:rsidRDefault="003F78CC" w:rsidP="003F78CC">
      <w:pPr>
        <w:tabs>
          <w:tab w:val="left" w:pos="3570"/>
        </w:tabs>
        <w:ind w:left="3544" w:hanging="3544"/>
        <w:rPr>
          <w:rFonts w:ascii="Times New Roman" w:hAnsi="Times New Roman" w:cs="Times New Roman"/>
          <w:color w:val="000000"/>
          <w:sz w:val="24"/>
        </w:rPr>
      </w:pPr>
      <w:r w:rsidRPr="000047C9">
        <w:rPr>
          <w:rFonts w:ascii="Times New Roman" w:hAnsi="Times New Roman" w:cs="Times New Roman"/>
          <w:color w:val="000000"/>
          <w:sz w:val="24"/>
        </w:rPr>
        <w:t xml:space="preserve">Regula Nr. 1175/2011 </w:t>
      </w:r>
      <w:r w:rsidRPr="000047C9">
        <w:rPr>
          <w:rFonts w:ascii="Times New Roman" w:hAnsi="Times New Roman" w:cs="Times New Roman"/>
          <w:color w:val="000000"/>
          <w:sz w:val="24"/>
        </w:rPr>
        <w:tab/>
        <w:t xml:space="preserve">Eiropas Parlamenta un Padomes regula (ES) Nr. 1175/2011 (2011. gada 16. novembris), ar ko groza Padomes Regulu (EK) Nr. 1466/97 par budžeta stāvokļa </w:t>
      </w:r>
      <w:r w:rsidRPr="000047C9">
        <w:rPr>
          <w:rFonts w:ascii="Times New Roman" w:hAnsi="Times New Roman" w:cs="Times New Roman"/>
          <w:color w:val="000000"/>
          <w:sz w:val="24"/>
        </w:rPr>
        <w:lastRenderedPageBreak/>
        <w:t>uzraudzības un ekonomikas politikas uzraudzības un koordinācijas stiprināšanu</w:t>
      </w:r>
    </w:p>
    <w:p w14:paraId="3FC0CEBA" w14:textId="77777777" w:rsidR="003F78CC" w:rsidRDefault="003F78CC" w:rsidP="003F78CC">
      <w:pPr>
        <w:tabs>
          <w:tab w:val="left" w:pos="3544"/>
        </w:tabs>
        <w:rPr>
          <w:rFonts w:ascii="Times New Roman" w:hAnsi="Times New Roman" w:cs="Times New Roman"/>
          <w:sz w:val="24"/>
          <w:szCs w:val="24"/>
        </w:rPr>
      </w:pPr>
      <w:r w:rsidRPr="000047C9">
        <w:rPr>
          <w:rFonts w:ascii="Times New Roman" w:hAnsi="Times New Roman" w:cs="Times New Roman"/>
          <w:sz w:val="24"/>
          <w:szCs w:val="24"/>
        </w:rPr>
        <w:t>UIN</w:t>
      </w:r>
      <w:r w:rsidRPr="000047C9">
        <w:rPr>
          <w:rFonts w:ascii="Times New Roman" w:hAnsi="Times New Roman" w:cs="Times New Roman"/>
          <w:sz w:val="24"/>
          <w:szCs w:val="24"/>
        </w:rPr>
        <w:tab/>
        <w:t>Uzņēmumu ieņēmumu nodoklis</w:t>
      </w:r>
    </w:p>
    <w:p w14:paraId="25C94220" w14:textId="0C4BDAD9" w:rsidR="00F00EDA" w:rsidRPr="000047C9" w:rsidRDefault="00F00EDA" w:rsidP="003F78CC">
      <w:pPr>
        <w:tabs>
          <w:tab w:val="left" w:pos="3544"/>
        </w:tabs>
        <w:rPr>
          <w:rFonts w:ascii="Times New Roman" w:hAnsi="Times New Roman" w:cs="Times New Roman"/>
          <w:color w:val="000000"/>
          <w:sz w:val="24"/>
          <w:szCs w:val="24"/>
          <w:lang w:eastAsia="lv-LV"/>
        </w:rPr>
      </w:pPr>
      <w:r>
        <w:rPr>
          <w:rFonts w:ascii="Times New Roman" w:hAnsi="Times New Roman" w:cs="Times New Roman"/>
          <w:sz w:val="24"/>
          <w:szCs w:val="24"/>
        </w:rPr>
        <w:t>SIP</w:t>
      </w:r>
      <w:r>
        <w:rPr>
          <w:rFonts w:ascii="Times New Roman" w:hAnsi="Times New Roman" w:cs="Times New Roman"/>
          <w:sz w:val="24"/>
          <w:szCs w:val="24"/>
        </w:rPr>
        <w:tab/>
        <w:t>Stabilitātes un izaugsmes pakts</w:t>
      </w:r>
    </w:p>
    <w:p w14:paraId="62C79ADF" w14:textId="77777777" w:rsidR="003F78CC" w:rsidRPr="000047C9" w:rsidRDefault="003F78CC" w:rsidP="003F78CC">
      <w:pPr>
        <w:tabs>
          <w:tab w:val="left" w:pos="3544"/>
        </w:tabs>
        <w:rPr>
          <w:rFonts w:ascii="Times New Roman" w:hAnsi="Times New Roman" w:cs="Times New Roman"/>
          <w:color w:val="000000"/>
          <w:sz w:val="24"/>
          <w:szCs w:val="24"/>
          <w:lang w:eastAsia="lv-LV"/>
        </w:rPr>
      </w:pPr>
      <w:r w:rsidRPr="000047C9">
        <w:rPr>
          <w:rFonts w:ascii="Times New Roman" w:hAnsi="Times New Roman" w:cs="Times New Roman"/>
          <w:color w:val="000000"/>
          <w:sz w:val="24"/>
          <w:szCs w:val="24"/>
          <w:lang w:eastAsia="lv-LV"/>
        </w:rPr>
        <w:t xml:space="preserve">SVF </w:t>
      </w:r>
      <w:r w:rsidRPr="000047C9">
        <w:rPr>
          <w:rFonts w:ascii="Times New Roman" w:hAnsi="Times New Roman" w:cs="Times New Roman"/>
          <w:color w:val="000000"/>
          <w:sz w:val="24"/>
          <w:szCs w:val="24"/>
          <w:lang w:eastAsia="lv-LV"/>
        </w:rPr>
        <w:tab/>
        <w:t>Starptautiskais valūtas fonds</w:t>
      </w:r>
    </w:p>
    <w:p w14:paraId="1E8D4D08" w14:textId="77777777" w:rsidR="003F78CC" w:rsidRPr="000047C9" w:rsidRDefault="003F78CC" w:rsidP="003F78CC">
      <w:pPr>
        <w:tabs>
          <w:tab w:val="left" w:pos="3544"/>
        </w:tabs>
        <w:rPr>
          <w:rFonts w:ascii="Times New Roman" w:hAnsi="Times New Roman" w:cs="Times New Roman"/>
          <w:color w:val="000000"/>
          <w:sz w:val="24"/>
          <w:szCs w:val="24"/>
          <w:lang w:eastAsia="lv-LV"/>
        </w:rPr>
      </w:pPr>
      <w:r w:rsidRPr="000047C9">
        <w:rPr>
          <w:rFonts w:ascii="Times New Roman" w:hAnsi="Times New Roman" w:cs="Times New Roman"/>
          <w:color w:val="000000"/>
          <w:sz w:val="24"/>
          <w:szCs w:val="24"/>
          <w:lang w:eastAsia="lv-LV"/>
        </w:rPr>
        <w:t xml:space="preserve">VID </w:t>
      </w:r>
      <w:r w:rsidRPr="000047C9">
        <w:rPr>
          <w:rFonts w:ascii="Times New Roman" w:hAnsi="Times New Roman" w:cs="Times New Roman"/>
          <w:color w:val="000000"/>
          <w:sz w:val="24"/>
          <w:szCs w:val="24"/>
          <w:lang w:eastAsia="lv-LV"/>
        </w:rPr>
        <w:tab/>
        <w:t>Valsts ieņēmumu dienests</w:t>
      </w:r>
    </w:p>
    <w:p w14:paraId="2DD0F497" w14:textId="77777777" w:rsidR="003F78CC" w:rsidRPr="000047C9" w:rsidRDefault="003F78CC" w:rsidP="003F78CC">
      <w:pPr>
        <w:tabs>
          <w:tab w:val="left" w:pos="3544"/>
        </w:tabs>
        <w:rPr>
          <w:rFonts w:ascii="Times New Roman" w:hAnsi="Times New Roman" w:cs="Times New Roman"/>
          <w:sz w:val="24"/>
          <w:szCs w:val="24"/>
        </w:rPr>
      </w:pPr>
      <w:r w:rsidRPr="000047C9">
        <w:rPr>
          <w:rFonts w:ascii="Times New Roman" w:hAnsi="Times New Roman" w:cs="Times New Roman"/>
          <w:sz w:val="24"/>
          <w:szCs w:val="24"/>
        </w:rPr>
        <w:t xml:space="preserve">VK </w:t>
      </w:r>
      <w:r w:rsidRPr="000047C9">
        <w:rPr>
          <w:rFonts w:ascii="Times New Roman" w:hAnsi="Times New Roman" w:cs="Times New Roman"/>
          <w:sz w:val="24"/>
          <w:szCs w:val="24"/>
        </w:rPr>
        <w:tab/>
        <w:t>Valsts kase</w:t>
      </w:r>
    </w:p>
    <w:p w14:paraId="4443FFAD" w14:textId="77777777" w:rsidR="003F78CC" w:rsidRPr="00F51615" w:rsidRDefault="003F78CC" w:rsidP="003F78CC">
      <w:pPr>
        <w:ind w:left="3544" w:hanging="3544"/>
        <w:rPr>
          <w:rFonts w:ascii="Times New Roman" w:hAnsi="Times New Roman" w:cs="Times New Roman"/>
          <w:color w:val="000000"/>
        </w:rPr>
      </w:pPr>
      <w:r w:rsidRPr="000047C9">
        <w:rPr>
          <w:rFonts w:ascii="Times New Roman" w:hAnsi="Times New Roman" w:cs="Times New Roman"/>
          <w:color w:val="000000"/>
          <w:sz w:val="24"/>
        </w:rPr>
        <w:t xml:space="preserve">VTM </w:t>
      </w:r>
      <w:r w:rsidRPr="000047C9">
        <w:rPr>
          <w:rFonts w:ascii="Times New Roman" w:hAnsi="Times New Roman" w:cs="Times New Roman"/>
          <w:color w:val="000000"/>
          <w:sz w:val="24"/>
        </w:rPr>
        <w:tab/>
        <w:t>Vidēja termiņa budžeta bilances mērķis strukturālā izteiksmē</w:t>
      </w:r>
    </w:p>
    <w:p w14:paraId="7FB459E0" w14:textId="77777777" w:rsidR="003F78CC" w:rsidRPr="00F51615" w:rsidRDefault="003F78CC">
      <w:pPr>
        <w:rPr>
          <w:rFonts w:ascii="Times New Roman" w:hAnsi="Times New Roman" w:cs="Times New Roman"/>
          <w:color w:val="000000"/>
        </w:rPr>
      </w:pPr>
      <w:r w:rsidRPr="00F51615">
        <w:rPr>
          <w:rFonts w:ascii="Times New Roman" w:hAnsi="Times New Roman" w:cs="Times New Roman"/>
          <w:color w:val="000000"/>
        </w:rPr>
        <w:br w:type="page"/>
      </w:r>
    </w:p>
    <w:p w14:paraId="44E8D1E6" w14:textId="77777777" w:rsidR="003F78CC" w:rsidRPr="00F51615" w:rsidRDefault="003F78CC" w:rsidP="003F78CC">
      <w:pPr>
        <w:pStyle w:val="Heading1"/>
        <w:numPr>
          <w:ilvl w:val="0"/>
          <w:numId w:val="1"/>
        </w:numPr>
        <w:ind w:left="284" w:hanging="283"/>
        <w:jc w:val="center"/>
        <w:rPr>
          <w:rFonts w:ascii="Times New Roman" w:hAnsi="Times New Roman" w:cs="Times New Roman"/>
          <w:sz w:val="32"/>
        </w:rPr>
      </w:pPr>
      <w:bookmarkStart w:id="1" w:name="_Toc416279061"/>
      <w:r w:rsidRPr="00F51615">
        <w:rPr>
          <w:rFonts w:ascii="Times New Roman" w:hAnsi="Times New Roman" w:cs="Times New Roman"/>
          <w:sz w:val="32"/>
        </w:rPr>
        <w:lastRenderedPageBreak/>
        <w:t>Vispārējās ekonomiskās politikas vadlīnijas un mērķi</w:t>
      </w:r>
      <w:bookmarkEnd w:id="1"/>
    </w:p>
    <w:p w14:paraId="32C93135" w14:textId="39E51E54" w:rsidR="00B51338" w:rsidRPr="00F51615" w:rsidRDefault="00B51338" w:rsidP="00B51338">
      <w:pPr>
        <w:spacing w:after="0" w:line="240" w:lineRule="auto"/>
        <w:ind w:firstLine="720"/>
        <w:jc w:val="both"/>
        <w:rPr>
          <w:rFonts w:ascii="Times New Roman" w:hAnsi="Times New Roman" w:cs="Times New Roman"/>
          <w:sz w:val="24"/>
          <w:szCs w:val="24"/>
        </w:rPr>
      </w:pPr>
      <w:r w:rsidRPr="00F51615">
        <w:rPr>
          <w:rFonts w:ascii="Times New Roman" w:hAnsi="Times New Roman" w:cs="Times New Roman"/>
          <w:sz w:val="24"/>
          <w:szCs w:val="24"/>
        </w:rPr>
        <w:t>Latvijas Stabilitātes programma ir vidēja termiņa politikas dokuments, kas rakstur</w:t>
      </w:r>
      <w:r w:rsidR="00FA4740">
        <w:rPr>
          <w:rFonts w:ascii="Times New Roman" w:hAnsi="Times New Roman" w:cs="Times New Roman"/>
          <w:sz w:val="24"/>
          <w:szCs w:val="24"/>
        </w:rPr>
        <w:t>o Latvijas fiskālo politiku 2015. – 2018</w:t>
      </w:r>
      <w:r w:rsidR="00F00EDA">
        <w:rPr>
          <w:rFonts w:ascii="Times New Roman" w:hAnsi="Times New Roman" w:cs="Times New Roman"/>
          <w:sz w:val="24"/>
          <w:szCs w:val="24"/>
        </w:rPr>
        <w:t>.</w:t>
      </w:r>
      <w:r w:rsidRPr="00F51615">
        <w:rPr>
          <w:rFonts w:ascii="Times New Roman" w:hAnsi="Times New Roman" w:cs="Times New Roman"/>
          <w:sz w:val="24"/>
          <w:szCs w:val="24"/>
        </w:rPr>
        <w:t xml:space="preserve">gadam un ir sagatavots, vadoties pēc </w:t>
      </w:r>
      <w:r w:rsidR="00F00EDA">
        <w:rPr>
          <w:rFonts w:ascii="Times New Roman" w:hAnsi="Times New Roman" w:cs="Times New Roman"/>
          <w:sz w:val="24"/>
          <w:szCs w:val="24"/>
        </w:rPr>
        <w:t>SIP</w:t>
      </w:r>
      <w:r w:rsidRPr="00F51615">
        <w:rPr>
          <w:rFonts w:ascii="Times New Roman" w:hAnsi="Times New Roman" w:cs="Times New Roman"/>
          <w:sz w:val="24"/>
          <w:szCs w:val="24"/>
        </w:rPr>
        <w:t xml:space="preserve"> ieviešanas nosacījumiem un vadlīnijām. Stabilitātes programma ir vērsta uz stingras un ilgtspējīgas fiskālās politikas īstenošanu un makroekonomiskās stabilitātes nodrošināšanu. </w:t>
      </w:r>
    </w:p>
    <w:p w14:paraId="6B71911F" w14:textId="09E82FED" w:rsidR="00B51338" w:rsidRDefault="00B51338" w:rsidP="00B51338">
      <w:pPr>
        <w:spacing w:after="0" w:line="240" w:lineRule="auto"/>
        <w:ind w:firstLine="720"/>
        <w:jc w:val="both"/>
        <w:rPr>
          <w:rFonts w:ascii="Times New Roman" w:hAnsi="Times New Roman" w:cs="Times New Roman"/>
          <w:sz w:val="24"/>
          <w:szCs w:val="24"/>
        </w:rPr>
      </w:pPr>
      <w:r w:rsidRPr="00F51615">
        <w:rPr>
          <w:rFonts w:ascii="Times New Roman" w:hAnsi="Times New Roman" w:cs="Times New Roman"/>
          <w:sz w:val="24"/>
          <w:szCs w:val="24"/>
        </w:rPr>
        <w:t>ES ekonomiskās politikas uzraudzības un k</w:t>
      </w:r>
      <w:r w:rsidR="00FA4740">
        <w:rPr>
          <w:rFonts w:ascii="Times New Roman" w:hAnsi="Times New Roman" w:cs="Times New Roman"/>
          <w:sz w:val="24"/>
          <w:szCs w:val="24"/>
        </w:rPr>
        <w:t>oordinācijas cikla jeb Eiropas S</w:t>
      </w:r>
      <w:r w:rsidRPr="00F51615">
        <w:rPr>
          <w:rFonts w:ascii="Times New Roman" w:hAnsi="Times New Roman" w:cs="Times New Roman"/>
          <w:sz w:val="24"/>
          <w:szCs w:val="24"/>
        </w:rPr>
        <w:t>emestra ietvaros, Stabilitātes programma tiek gatavota un iesniegta EK vienlaicīgi ar NRP u</w:t>
      </w:r>
      <w:r w:rsidR="006573ED">
        <w:rPr>
          <w:rFonts w:ascii="Times New Roman" w:hAnsi="Times New Roman" w:cs="Times New Roman"/>
          <w:sz w:val="24"/>
          <w:szCs w:val="24"/>
        </w:rPr>
        <w:t>n tajā iekļautajiem pasākumiem.</w:t>
      </w:r>
    </w:p>
    <w:p w14:paraId="7B11D42C" w14:textId="135548BE" w:rsidR="00EA23AB" w:rsidRDefault="00EA23AB" w:rsidP="00EA23AB">
      <w:pPr>
        <w:pStyle w:val="Default"/>
        <w:spacing w:after="60"/>
        <w:ind w:firstLine="720"/>
        <w:jc w:val="both"/>
        <w:rPr>
          <w:szCs w:val="23"/>
        </w:rPr>
      </w:pPr>
      <w:r>
        <w:rPr>
          <w:szCs w:val="23"/>
        </w:rPr>
        <w:t>2014.</w:t>
      </w:r>
      <w:r w:rsidRPr="00A02E4F">
        <w:rPr>
          <w:szCs w:val="23"/>
        </w:rPr>
        <w:t xml:space="preserve">gadā Latvijas </w:t>
      </w:r>
      <w:r w:rsidR="00D32420">
        <w:rPr>
          <w:szCs w:val="23"/>
        </w:rPr>
        <w:t>izaugsme bija</w:t>
      </w:r>
      <w:r w:rsidR="00D32420" w:rsidRPr="00A02E4F">
        <w:rPr>
          <w:szCs w:val="23"/>
        </w:rPr>
        <w:t xml:space="preserve"> 2,4%</w:t>
      </w:r>
      <w:r w:rsidR="00D32420">
        <w:rPr>
          <w:szCs w:val="23"/>
        </w:rPr>
        <w:t xml:space="preserve"> no</w:t>
      </w:r>
      <w:r w:rsidR="00D32420" w:rsidRPr="00A02E4F">
        <w:rPr>
          <w:szCs w:val="23"/>
        </w:rPr>
        <w:t xml:space="preserve"> </w:t>
      </w:r>
      <w:r w:rsidR="00D32420">
        <w:rPr>
          <w:szCs w:val="23"/>
        </w:rPr>
        <w:t xml:space="preserve">IKP. </w:t>
      </w:r>
      <w:r w:rsidRPr="00A02E4F">
        <w:rPr>
          <w:szCs w:val="23"/>
        </w:rPr>
        <w:t>Ekonomikas izaugsme sabremzējās dažādu iekšējo un ārējo faktoru ietekmē, starp kuriem svarīgākie ir ģeopolitiskās situācijas eskalācija, tirdzniecības sankciju ieviešana un Krievijas ekonomikas recesija. Neskatoties uz izaugsmes tempu palēnināšanos, Latvijas IKP pieaugums pērn ir bijis viens no augstākajiem ES dalībvalstu vidū un par 1,1 procentpunktu pārsniedz ES vidējo izaugsmes līmeni.</w:t>
      </w:r>
    </w:p>
    <w:p w14:paraId="5CC53CF0" w14:textId="77777777" w:rsidR="00D32420" w:rsidRDefault="00EA23AB" w:rsidP="00D32420">
      <w:pPr>
        <w:pStyle w:val="Default"/>
        <w:spacing w:after="60"/>
        <w:ind w:firstLine="720"/>
        <w:jc w:val="both"/>
        <w:rPr>
          <w:szCs w:val="23"/>
        </w:rPr>
      </w:pPr>
      <w:r w:rsidRPr="00A02E4F">
        <w:rPr>
          <w:szCs w:val="23"/>
        </w:rPr>
        <w:t>Makroekonomiskās att</w:t>
      </w:r>
      <w:r>
        <w:rPr>
          <w:szCs w:val="23"/>
        </w:rPr>
        <w:t>īstības scenārijs 2015. – 2018.</w:t>
      </w:r>
      <w:r w:rsidRPr="00A02E4F">
        <w:rPr>
          <w:szCs w:val="23"/>
        </w:rPr>
        <w:t xml:space="preserve">gadam izstrādāts, balstoties uz konservatīviem pieņēmumiem par ārējā un iekšējā pieprasījuma pieaugumu un ņem vērā gan iekšējos, gan ārējos riskus. Vidējā termiņā makroekonomiskās attīstības scenārija pozitīvie un negatīvie riski ir sabalansēti, tomēr īstermiņā vairāk dominē negatīvie riski, no kuriem būtiskākie ir ārējās vides riski, kas saistīti ar ģeopolitisko situāciju reģionā, Krievijas ekonomikas nonākšanu recesijā un vājo ekonomikas izaugsmi </w:t>
      </w:r>
      <w:r w:rsidR="00D32420">
        <w:rPr>
          <w:i/>
          <w:szCs w:val="23"/>
        </w:rPr>
        <w:t>euro</w:t>
      </w:r>
      <w:r w:rsidR="00D32420">
        <w:rPr>
          <w:szCs w:val="23"/>
        </w:rPr>
        <w:t xml:space="preserve"> zonā. Vienlaikus m</w:t>
      </w:r>
      <w:r w:rsidR="00D32420" w:rsidRPr="00A02E4F">
        <w:rPr>
          <w:szCs w:val="23"/>
        </w:rPr>
        <w:t>akroekonomiskajā scenārijā pieņemts, ka Krievijas noteiktās sankcijas būs spēkā vienu gadu no to</w:t>
      </w:r>
      <w:r w:rsidR="00D32420">
        <w:rPr>
          <w:szCs w:val="23"/>
        </w:rPr>
        <w:t xml:space="preserve"> noteikšanas brīža. </w:t>
      </w:r>
    </w:p>
    <w:p w14:paraId="58819C27" w14:textId="044C9951" w:rsidR="00EA23AB" w:rsidRDefault="006573ED" w:rsidP="00D32420">
      <w:pPr>
        <w:pStyle w:val="Default"/>
        <w:spacing w:after="60"/>
        <w:ind w:firstLine="720"/>
        <w:jc w:val="both"/>
        <w:rPr>
          <w:szCs w:val="23"/>
        </w:rPr>
      </w:pPr>
      <w:r>
        <w:rPr>
          <w:szCs w:val="23"/>
        </w:rPr>
        <w:t xml:space="preserve">FM </w:t>
      </w:r>
      <w:r w:rsidRPr="00A02E4F">
        <w:rPr>
          <w:szCs w:val="23"/>
        </w:rPr>
        <w:t>ir samazinājusi IKP pie</w:t>
      </w:r>
      <w:r>
        <w:rPr>
          <w:szCs w:val="23"/>
        </w:rPr>
        <w:t>auguma prognozes 2015. un 2016.</w:t>
      </w:r>
      <w:r w:rsidRPr="00A02E4F">
        <w:rPr>
          <w:szCs w:val="23"/>
        </w:rPr>
        <w:t>gadam</w:t>
      </w:r>
      <w:r w:rsidR="00D32420">
        <w:rPr>
          <w:szCs w:val="23"/>
        </w:rPr>
        <w:t>, pared</w:t>
      </w:r>
      <w:r w:rsidR="00AF0874">
        <w:rPr>
          <w:szCs w:val="23"/>
        </w:rPr>
        <w:t>z</w:t>
      </w:r>
      <w:r w:rsidR="00D32420">
        <w:rPr>
          <w:szCs w:val="23"/>
        </w:rPr>
        <w:t xml:space="preserve">ot, ka </w:t>
      </w:r>
      <w:r w:rsidRPr="00A02E4F">
        <w:rPr>
          <w:szCs w:val="23"/>
        </w:rPr>
        <w:t>I</w:t>
      </w:r>
      <w:r>
        <w:rPr>
          <w:szCs w:val="23"/>
        </w:rPr>
        <w:t>KP 2015.</w:t>
      </w:r>
      <w:r w:rsidRPr="00A02E4F">
        <w:rPr>
          <w:szCs w:val="23"/>
        </w:rPr>
        <w:t>gadā p</w:t>
      </w:r>
      <w:r>
        <w:rPr>
          <w:szCs w:val="23"/>
        </w:rPr>
        <w:t>ieaugs par 2,1%, savukārt 2016.</w:t>
      </w:r>
      <w:r w:rsidRPr="00A02E4F">
        <w:rPr>
          <w:szCs w:val="23"/>
        </w:rPr>
        <w:t xml:space="preserve">gadā tas </w:t>
      </w:r>
      <w:r w:rsidR="00D32420">
        <w:rPr>
          <w:szCs w:val="23"/>
        </w:rPr>
        <w:t>pie</w:t>
      </w:r>
      <w:r w:rsidRPr="00A02E4F">
        <w:rPr>
          <w:szCs w:val="23"/>
        </w:rPr>
        <w:t>augs par 3,</w:t>
      </w:r>
      <w:r>
        <w:rPr>
          <w:szCs w:val="23"/>
        </w:rPr>
        <w:t xml:space="preserve">0%. </w:t>
      </w:r>
      <w:r w:rsidR="00EA23AB" w:rsidRPr="00A02E4F">
        <w:rPr>
          <w:szCs w:val="23"/>
        </w:rPr>
        <w:t xml:space="preserve">Vidējā termiņā, ārējai nenoteiktībai mazinoties, izaugsme atkal kļūs sabalansēta starp ārējo un iekšējo pieprasījumu. Atbilstoši </w:t>
      </w:r>
      <w:r w:rsidR="00EA23AB">
        <w:rPr>
          <w:szCs w:val="23"/>
        </w:rPr>
        <w:t>FM</w:t>
      </w:r>
      <w:r w:rsidR="00EA23AB" w:rsidRPr="00A02E4F">
        <w:rPr>
          <w:szCs w:val="23"/>
        </w:rPr>
        <w:t xml:space="preserve"> progno</w:t>
      </w:r>
      <w:r w:rsidR="00EA23AB">
        <w:rPr>
          <w:szCs w:val="23"/>
        </w:rPr>
        <w:t>zēm Latvijas IKP 2017. un 2018.</w:t>
      </w:r>
      <w:r w:rsidR="00EA23AB" w:rsidRPr="00A02E4F">
        <w:rPr>
          <w:szCs w:val="23"/>
        </w:rPr>
        <w:t>gadā palielināsies par 3,6% gadā.</w:t>
      </w:r>
    </w:p>
    <w:p w14:paraId="021E0BA1" w14:textId="66FE376A" w:rsidR="00EF18F5" w:rsidRPr="0009609E" w:rsidRDefault="00EF18F5" w:rsidP="00EF18F5">
      <w:pPr>
        <w:spacing w:after="60" w:line="240" w:lineRule="auto"/>
        <w:ind w:firstLine="72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 xml:space="preserve">Latvijas fiskālās </w:t>
      </w:r>
      <w:r>
        <w:rPr>
          <w:rFonts w:ascii="Times New Roman" w:eastAsia="Calibri" w:hAnsi="Times New Roman" w:cs="Times New Roman"/>
          <w:sz w:val="24"/>
          <w:szCs w:val="24"/>
        </w:rPr>
        <w:t>politikas specifiskie mērķi 2015. – 2018.gadam ir sekojoši</w:t>
      </w:r>
      <w:r w:rsidRPr="0009609E">
        <w:rPr>
          <w:rFonts w:ascii="Times New Roman" w:eastAsia="Calibri" w:hAnsi="Times New Roman" w:cs="Times New Roman"/>
          <w:sz w:val="24"/>
          <w:szCs w:val="24"/>
        </w:rPr>
        <w:t>:</w:t>
      </w:r>
    </w:p>
    <w:p w14:paraId="55B0E04D" w14:textId="77777777" w:rsidR="00EF18F5" w:rsidRPr="0009609E" w:rsidRDefault="00EF18F5" w:rsidP="00EF18F5">
      <w:pPr>
        <w:numPr>
          <w:ilvl w:val="0"/>
          <w:numId w:val="17"/>
        </w:numPr>
        <w:spacing w:after="60" w:line="240" w:lineRule="auto"/>
        <w:ind w:left="1134" w:firstLine="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Nodrošināt atbildīgu un ilgtspējīgu fiskālo politiku, ievērojot fiskālo disciplīnu;</w:t>
      </w:r>
    </w:p>
    <w:p w14:paraId="7D99C862" w14:textId="77777777" w:rsidR="00EF18F5" w:rsidRPr="0009609E" w:rsidRDefault="00EF18F5" w:rsidP="00EF18F5">
      <w:pPr>
        <w:numPr>
          <w:ilvl w:val="0"/>
          <w:numId w:val="17"/>
        </w:numPr>
        <w:spacing w:after="60" w:line="240" w:lineRule="auto"/>
        <w:ind w:left="1134" w:firstLine="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Kāpināt iedzīvotāju dzīves kvalitāti.</w:t>
      </w:r>
    </w:p>
    <w:p w14:paraId="0FA9435A" w14:textId="77777777" w:rsidR="00EF18F5" w:rsidRPr="0009609E" w:rsidRDefault="00EF18F5" w:rsidP="00EF18F5">
      <w:pPr>
        <w:numPr>
          <w:ilvl w:val="0"/>
          <w:numId w:val="17"/>
        </w:numPr>
        <w:spacing w:after="60" w:line="240" w:lineRule="auto"/>
        <w:ind w:left="1134" w:firstLine="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Nodrošināt labvēlīgu vidi ekonomikas attīstībai.</w:t>
      </w:r>
    </w:p>
    <w:p w14:paraId="6B898EF6" w14:textId="77777777" w:rsidR="00EF18F5" w:rsidRPr="0009609E" w:rsidRDefault="00EF18F5" w:rsidP="00EF18F5">
      <w:pPr>
        <w:numPr>
          <w:ilvl w:val="0"/>
          <w:numId w:val="17"/>
        </w:numPr>
        <w:spacing w:after="60" w:line="240" w:lineRule="auto"/>
        <w:ind w:left="1134" w:firstLine="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Nodrošināt ģeopolitiskajiem riskiem adekvātu  valsts aizsardzības kapacitāti.</w:t>
      </w:r>
    </w:p>
    <w:p w14:paraId="7FE94F4E" w14:textId="529BF211" w:rsidR="00EF18F5" w:rsidRPr="0009609E" w:rsidRDefault="00EF18F5" w:rsidP="00EF18F5">
      <w:pPr>
        <w:spacing w:after="6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0"/>
        </w:rPr>
        <w:t xml:space="preserve">Vienlaikus </w:t>
      </w:r>
      <w:r w:rsidRPr="0009609E">
        <w:rPr>
          <w:rFonts w:ascii="Times New Roman" w:eastAsia="Calibri" w:hAnsi="Times New Roman" w:cs="Times New Roman"/>
          <w:sz w:val="24"/>
          <w:szCs w:val="20"/>
        </w:rPr>
        <w:t>Latvijas fiskālās politikas vispārējais m</w:t>
      </w:r>
      <w:r>
        <w:rPr>
          <w:rFonts w:ascii="Times New Roman" w:eastAsia="Calibri" w:hAnsi="Times New Roman" w:cs="Times New Roman"/>
          <w:sz w:val="24"/>
          <w:szCs w:val="20"/>
        </w:rPr>
        <w:t>ērķis netiek mainīts un arī 2015</w:t>
      </w:r>
      <w:r w:rsidRPr="0009609E">
        <w:rPr>
          <w:rFonts w:ascii="Times New Roman" w:eastAsia="Calibri" w:hAnsi="Times New Roman" w:cs="Times New Roman"/>
          <w:sz w:val="24"/>
          <w:szCs w:val="20"/>
        </w:rPr>
        <w:t xml:space="preserve">.-2018.gadā ir </w:t>
      </w:r>
      <w:r w:rsidRPr="00EF18F5">
        <w:rPr>
          <w:rFonts w:ascii="Times New Roman" w:eastAsia="Calibri" w:hAnsi="Times New Roman" w:cs="Times New Roman"/>
          <w:sz w:val="24"/>
          <w:szCs w:val="24"/>
        </w:rPr>
        <w:t>ilgtspējīgi kāpināt iedzīvotāju dzīves kvalitāti</w:t>
      </w:r>
      <w:r>
        <w:rPr>
          <w:rFonts w:ascii="Times New Roman" w:eastAsia="Calibri" w:hAnsi="Times New Roman" w:cs="Times New Roman"/>
          <w:sz w:val="24"/>
          <w:szCs w:val="24"/>
        </w:rPr>
        <w:t xml:space="preserve">. </w:t>
      </w:r>
      <w:r w:rsidRPr="0009609E">
        <w:rPr>
          <w:rFonts w:ascii="Times New Roman" w:eastAsia="Calibri" w:hAnsi="Times New Roman" w:cs="Times New Roman"/>
          <w:sz w:val="24"/>
          <w:szCs w:val="24"/>
        </w:rPr>
        <w:t xml:space="preserve">Dzīves kvalitāte ietver gan iedzīvotāju labklājību, medicīnas pakalpojumu pieejamību, dabas vidi, attīstītu infrastruktūru un kultūru, gan pārmērīgas iedzīvotāju ienākumu nevienlīdzības novēršanu. Tomēr šajā trīs gadu periodā ir nācis klāt jauns izaicinājums – </w:t>
      </w:r>
      <w:r w:rsidR="009720A1">
        <w:rPr>
          <w:rFonts w:ascii="Times New Roman" w:eastAsia="Calibri" w:hAnsi="Times New Roman" w:cs="Times New Roman"/>
          <w:sz w:val="24"/>
          <w:szCs w:val="24"/>
        </w:rPr>
        <w:t>ģeopolitiskās situācijas eskalācija</w:t>
      </w:r>
      <w:r>
        <w:rPr>
          <w:rFonts w:ascii="Times New Roman" w:eastAsia="Calibri" w:hAnsi="Times New Roman" w:cs="Times New Roman"/>
          <w:sz w:val="24"/>
          <w:szCs w:val="24"/>
        </w:rPr>
        <w:t>, kas</w:t>
      </w:r>
      <w:r w:rsidRPr="0009609E">
        <w:rPr>
          <w:rFonts w:ascii="Times New Roman" w:eastAsia="Calibri" w:hAnsi="Times New Roman" w:cs="Times New Roman"/>
          <w:sz w:val="24"/>
          <w:szCs w:val="24"/>
        </w:rPr>
        <w:t xml:space="preserve"> liek citā gaismā raudzīties uz valsts drošības jautājumiem</w:t>
      </w:r>
      <w:r w:rsidR="009720A1">
        <w:rPr>
          <w:rFonts w:ascii="Times New Roman" w:eastAsia="Calibri" w:hAnsi="Times New Roman" w:cs="Times New Roman"/>
          <w:sz w:val="24"/>
          <w:szCs w:val="24"/>
        </w:rPr>
        <w:t>, radot</w:t>
      </w:r>
      <w:r w:rsidR="009720A1" w:rsidRPr="009720A1">
        <w:rPr>
          <w:rFonts w:ascii="Times New Roman" w:eastAsia="Calibri" w:hAnsi="Times New Roman" w:cs="Times New Roman"/>
          <w:sz w:val="24"/>
          <w:szCs w:val="24"/>
        </w:rPr>
        <w:t xml:space="preserve"> </w:t>
      </w:r>
      <w:r w:rsidR="009720A1">
        <w:rPr>
          <w:rFonts w:ascii="Times New Roman" w:eastAsia="Calibri" w:hAnsi="Times New Roman" w:cs="Times New Roman"/>
          <w:sz w:val="24"/>
          <w:szCs w:val="24"/>
        </w:rPr>
        <w:t>nepieciešamību būtiski paaugstināt finansējumu valsts aizsardzībai</w:t>
      </w:r>
      <w:r w:rsidRPr="0009609E">
        <w:rPr>
          <w:rFonts w:ascii="Times New Roman" w:eastAsia="Calibri" w:hAnsi="Times New Roman" w:cs="Times New Roman"/>
          <w:sz w:val="24"/>
          <w:szCs w:val="24"/>
        </w:rPr>
        <w:t xml:space="preserve">. </w:t>
      </w:r>
    </w:p>
    <w:p w14:paraId="5710741E" w14:textId="11FB25FD" w:rsidR="00EF18F5" w:rsidRDefault="00CE3B47" w:rsidP="00EF18F5">
      <w:pPr>
        <w:pStyle w:val="Default"/>
        <w:spacing w:after="60"/>
        <w:ind w:firstLine="720"/>
        <w:jc w:val="both"/>
      </w:pPr>
      <w:r w:rsidRPr="0009609E">
        <w:t xml:space="preserve">2014.gadā Latvija pēc vairāku gadu pārtraukuma atgriezās </w:t>
      </w:r>
      <w:r w:rsidRPr="0009609E">
        <w:rPr>
          <w:i/>
        </w:rPr>
        <w:t>euro</w:t>
      </w:r>
      <w:r w:rsidRPr="0009609E">
        <w:t xml:space="preserve"> finanšu tirgos, </w:t>
      </w:r>
      <w:r>
        <w:t>VK</w:t>
      </w:r>
      <w:r w:rsidRPr="0009609E">
        <w:t xml:space="preserve"> organizējot divas etalona vērtspapīru emisijas </w:t>
      </w:r>
      <w:r w:rsidRPr="0009609E">
        <w:rPr>
          <w:i/>
        </w:rPr>
        <w:t>euro</w:t>
      </w:r>
      <w:r w:rsidRPr="0009609E">
        <w:t xml:space="preserve"> valūtā. 2014.gada janvārī tika emitētas 7 gadu obligācijas 1 mljrd.</w:t>
      </w:r>
      <w:r>
        <w:t xml:space="preserve"> </w:t>
      </w:r>
      <w:r w:rsidRPr="0009609E">
        <w:rPr>
          <w:i/>
        </w:rPr>
        <w:t>euro</w:t>
      </w:r>
      <w:r w:rsidRPr="0009609E">
        <w:t xml:space="preserve"> apmērā un aprīlī tika emitētas 10 gadu obligācijas 1 mljrd.</w:t>
      </w:r>
      <w:r>
        <w:t xml:space="preserve"> </w:t>
      </w:r>
      <w:r w:rsidRPr="0009609E">
        <w:rPr>
          <w:i/>
        </w:rPr>
        <w:t>euro</w:t>
      </w:r>
      <w:r w:rsidRPr="0009609E">
        <w:t xml:space="preserve"> apmērā. Eiroobligāciju emisiju rezultātā tika nodrošināti resursi finansēšanas nepieciešamības segšanai, kā arī ekonomiskās krīzes laikā Latvijai piešķirtā starptautiskā aizdevuma daļas kārtējai atmaksai (2014.gada 25.martā </w:t>
      </w:r>
      <w:r>
        <w:t>EK</w:t>
      </w:r>
      <w:r w:rsidRPr="0009609E">
        <w:t xml:space="preserve"> tika atmaksāta aizdevuma daļa 1 mljrd.</w:t>
      </w:r>
      <w:r>
        <w:t xml:space="preserve"> </w:t>
      </w:r>
      <w:r w:rsidRPr="0009609E">
        <w:rPr>
          <w:i/>
        </w:rPr>
        <w:t>euro</w:t>
      </w:r>
      <w:r w:rsidRPr="0009609E">
        <w:t xml:space="preserve"> apmērā un 2015.gada 16.janvārī otrā daļa 1,2 mljrd.</w:t>
      </w:r>
      <w:r>
        <w:t xml:space="preserve"> </w:t>
      </w:r>
      <w:r w:rsidRPr="0009609E">
        <w:rPr>
          <w:i/>
        </w:rPr>
        <w:t>euro</w:t>
      </w:r>
      <w:r w:rsidRPr="0009609E">
        <w:t xml:space="preserve"> apmērā). Abas eiroobligāciju emisijas veiktas vidēja termiņa aizņemšanās stratēģijas ietvaros, savlaicīgi nodrošinot resursus finansēšanas nepieciešamības segšanai, t.sk. apjoma ziņā lielāko valsts parāda saistību izpildei </w:t>
      </w:r>
      <w:r w:rsidRPr="0009609E">
        <w:lastRenderedPageBreak/>
        <w:t xml:space="preserve">2014. un 2015.gadā. </w:t>
      </w:r>
      <w:r w:rsidR="00EF18F5" w:rsidRPr="0009609E">
        <w:t xml:space="preserve">Ekonomiskā izaugsme, pievienošanās </w:t>
      </w:r>
      <w:r w:rsidR="00EF18F5" w:rsidRPr="0009609E">
        <w:rPr>
          <w:i/>
        </w:rPr>
        <w:t>euro</w:t>
      </w:r>
      <w:r w:rsidR="00EF18F5" w:rsidRPr="0009609E">
        <w:t xml:space="preserve"> zonai, saņemtie Latvijas kredītreitingu uzlabojumi, investoru augstais novērtējums par paveikto Latvijas valsts ekonomikā iepriekšējos gados un ticība Latvijas attīstībai ilgtermiņā ir ļāvuši aizņemties finanšu resursus starptautiskajos tirgos ar labvēlīgiem nosacījumiem.</w:t>
      </w:r>
    </w:p>
    <w:p w14:paraId="7409613C" w14:textId="1060565C" w:rsidR="00CE3B47" w:rsidRPr="003D38BE" w:rsidRDefault="00CE3B47" w:rsidP="00CE3B47">
      <w:pPr>
        <w:pStyle w:val="Default"/>
        <w:spacing w:after="60"/>
        <w:ind w:firstLine="720"/>
        <w:jc w:val="both"/>
        <w:rPr>
          <w:szCs w:val="23"/>
        </w:rPr>
      </w:pPr>
      <w:r>
        <w:t>Stabilitātes programma kā politikas dokuments ir apstiprināta MK, prezentē</w:t>
      </w:r>
      <w:r w:rsidR="009720A1">
        <w:t>ta un apstiprināta atbilstošajā</w:t>
      </w:r>
      <w:r>
        <w:t xml:space="preserve"> Saeimas komisijā.</w:t>
      </w:r>
    </w:p>
    <w:p w14:paraId="7B5C2DB7" w14:textId="77777777" w:rsidR="00CE3B47" w:rsidRPr="00A02E4F" w:rsidRDefault="00CE3B47" w:rsidP="00D32420">
      <w:pPr>
        <w:pStyle w:val="Default"/>
        <w:spacing w:after="60"/>
        <w:ind w:firstLine="720"/>
        <w:jc w:val="both"/>
        <w:rPr>
          <w:szCs w:val="23"/>
        </w:rPr>
      </w:pPr>
    </w:p>
    <w:p w14:paraId="14D9759C" w14:textId="77777777" w:rsidR="006573ED" w:rsidRPr="00F51615" w:rsidRDefault="006573ED" w:rsidP="00B51338">
      <w:pPr>
        <w:spacing w:after="0" w:line="240" w:lineRule="auto"/>
        <w:ind w:firstLine="720"/>
        <w:jc w:val="both"/>
        <w:rPr>
          <w:rFonts w:ascii="Times New Roman" w:hAnsi="Times New Roman" w:cs="Times New Roman"/>
          <w:sz w:val="24"/>
          <w:szCs w:val="24"/>
        </w:rPr>
      </w:pPr>
    </w:p>
    <w:p w14:paraId="71A237F5" w14:textId="77777777" w:rsidR="00475C4D" w:rsidRDefault="00475C4D" w:rsidP="00B51338">
      <w:pPr>
        <w:spacing w:after="0" w:line="240" w:lineRule="auto"/>
        <w:ind w:firstLine="720"/>
        <w:jc w:val="both"/>
        <w:rPr>
          <w:rFonts w:ascii="Times New Roman" w:hAnsi="Times New Roman" w:cs="Times New Roman"/>
          <w:sz w:val="24"/>
          <w:szCs w:val="24"/>
        </w:rPr>
      </w:pPr>
    </w:p>
    <w:p w14:paraId="7749B127" w14:textId="77777777" w:rsidR="00475C4D" w:rsidRDefault="00475C4D" w:rsidP="00B51338">
      <w:pPr>
        <w:spacing w:after="0" w:line="240" w:lineRule="auto"/>
        <w:ind w:firstLine="720"/>
        <w:jc w:val="both"/>
        <w:rPr>
          <w:rFonts w:ascii="Times New Roman" w:hAnsi="Times New Roman" w:cs="Times New Roman"/>
          <w:sz w:val="24"/>
          <w:szCs w:val="24"/>
        </w:rPr>
      </w:pPr>
    </w:p>
    <w:p w14:paraId="611E2ECF" w14:textId="77777777" w:rsidR="00475C4D" w:rsidRDefault="00475C4D" w:rsidP="00B51338">
      <w:pPr>
        <w:spacing w:after="0" w:line="240" w:lineRule="auto"/>
        <w:ind w:firstLine="720"/>
        <w:jc w:val="both"/>
        <w:rPr>
          <w:rFonts w:ascii="Times New Roman" w:hAnsi="Times New Roman" w:cs="Times New Roman"/>
          <w:sz w:val="24"/>
          <w:szCs w:val="24"/>
        </w:rPr>
      </w:pPr>
    </w:p>
    <w:p w14:paraId="5DF6AEF6" w14:textId="77777777" w:rsidR="00475C4D" w:rsidRDefault="00475C4D" w:rsidP="00B51338">
      <w:pPr>
        <w:spacing w:after="0" w:line="240" w:lineRule="auto"/>
        <w:ind w:firstLine="720"/>
        <w:jc w:val="both"/>
        <w:rPr>
          <w:rFonts w:ascii="Times New Roman" w:hAnsi="Times New Roman" w:cs="Times New Roman"/>
          <w:sz w:val="24"/>
          <w:szCs w:val="24"/>
        </w:rPr>
      </w:pPr>
    </w:p>
    <w:p w14:paraId="5BA3058E" w14:textId="77777777" w:rsidR="00475C4D" w:rsidRDefault="00475C4D" w:rsidP="00B51338">
      <w:pPr>
        <w:spacing w:after="0" w:line="240" w:lineRule="auto"/>
        <w:ind w:firstLine="720"/>
        <w:jc w:val="both"/>
        <w:rPr>
          <w:rFonts w:ascii="Times New Roman" w:hAnsi="Times New Roman" w:cs="Times New Roman"/>
          <w:sz w:val="24"/>
          <w:szCs w:val="24"/>
        </w:rPr>
      </w:pPr>
    </w:p>
    <w:p w14:paraId="181911E6" w14:textId="77777777" w:rsidR="00475C4D" w:rsidRPr="00F51615" w:rsidRDefault="00475C4D" w:rsidP="00B51338">
      <w:pPr>
        <w:spacing w:after="0" w:line="240" w:lineRule="auto"/>
        <w:ind w:firstLine="720"/>
        <w:jc w:val="both"/>
        <w:rPr>
          <w:rFonts w:ascii="Times New Roman" w:hAnsi="Times New Roman" w:cs="Times New Roman"/>
          <w:sz w:val="24"/>
          <w:szCs w:val="24"/>
        </w:rPr>
      </w:pPr>
    </w:p>
    <w:p w14:paraId="14D05AF5" w14:textId="77777777" w:rsidR="00F512CA" w:rsidRPr="00F51615" w:rsidRDefault="00F512CA">
      <w:pPr>
        <w:rPr>
          <w:rFonts w:ascii="Times New Roman" w:hAnsi="Times New Roman" w:cs="Times New Roman"/>
          <w:sz w:val="24"/>
          <w:szCs w:val="24"/>
        </w:rPr>
      </w:pPr>
      <w:r w:rsidRPr="00F51615">
        <w:rPr>
          <w:rFonts w:ascii="Times New Roman" w:hAnsi="Times New Roman" w:cs="Times New Roman"/>
          <w:sz w:val="24"/>
          <w:szCs w:val="24"/>
        </w:rPr>
        <w:br w:type="page"/>
      </w:r>
    </w:p>
    <w:p w14:paraId="183E178A" w14:textId="77777777" w:rsidR="005536A9" w:rsidRPr="00F51615" w:rsidRDefault="00F512CA" w:rsidP="00F512CA">
      <w:pPr>
        <w:pStyle w:val="Heading1"/>
        <w:numPr>
          <w:ilvl w:val="0"/>
          <w:numId w:val="1"/>
        </w:numPr>
        <w:ind w:left="284" w:hanging="283"/>
        <w:jc w:val="center"/>
        <w:rPr>
          <w:rFonts w:ascii="Times New Roman" w:hAnsi="Times New Roman" w:cs="Times New Roman"/>
          <w:sz w:val="32"/>
        </w:rPr>
      </w:pPr>
      <w:r w:rsidRPr="00F51615">
        <w:rPr>
          <w:rFonts w:ascii="Times New Roman" w:hAnsi="Times New Roman" w:cs="Times New Roman"/>
          <w:sz w:val="32"/>
        </w:rPr>
        <w:lastRenderedPageBreak/>
        <w:t xml:space="preserve"> </w:t>
      </w:r>
      <w:bookmarkStart w:id="2" w:name="_Toc416279062"/>
      <w:r w:rsidRPr="00F51615">
        <w:rPr>
          <w:rFonts w:ascii="Times New Roman" w:hAnsi="Times New Roman" w:cs="Times New Roman"/>
          <w:sz w:val="32"/>
        </w:rPr>
        <w:t>Ekonomiskā situācija</w:t>
      </w:r>
      <w:bookmarkEnd w:id="2"/>
    </w:p>
    <w:p w14:paraId="2119B4E5" w14:textId="77777777" w:rsidR="00A34463" w:rsidRDefault="00A34463" w:rsidP="007E26F6">
      <w:pPr>
        <w:pStyle w:val="Heading2"/>
        <w:numPr>
          <w:ilvl w:val="1"/>
          <w:numId w:val="1"/>
        </w:numPr>
        <w:spacing w:before="240" w:after="120"/>
        <w:ind w:left="709"/>
        <w:rPr>
          <w:rFonts w:ascii="Times New Roman" w:hAnsi="Times New Roman" w:cs="Times New Roman"/>
          <w:sz w:val="24"/>
        </w:rPr>
      </w:pPr>
      <w:bookmarkStart w:id="3" w:name="_Toc416279063"/>
      <w:r w:rsidRPr="00F51615">
        <w:rPr>
          <w:rFonts w:ascii="Times New Roman" w:hAnsi="Times New Roman" w:cs="Times New Roman"/>
          <w:sz w:val="24"/>
        </w:rPr>
        <w:t>Ārējā ekonomiskā vide</w:t>
      </w:r>
      <w:bookmarkEnd w:id="3"/>
    </w:p>
    <w:p w14:paraId="3958349F" w14:textId="3440A7BE" w:rsidR="003D38BE" w:rsidRPr="003D38BE" w:rsidRDefault="003D38BE" w:rsidP="002E7E06">
      <w:pPr>
        <w:spacing w:after="60" w:line="240" w:lineRule="auto"/>
        <w:ind w:firstLine="720"/>
        <w:jc w:val="both"/>
        <w:rPr>
          <w:rFonts w:ascii="Times New Roman" w:eastAsia="Times New Roman" w:hAnsi="Times New Roman" w:cs="Times New Roman"/>
          <w:sz w:val="24"/>
          <w:szCs w:val="20"/>
        </w:rPr>
      </w:pPr>
      <w:r w:rsidRPr="003D38BE">
        <w:rPr>
          <w:rFonts w:ascii="Times New Roman" w:eastAsia="Times New Roman" w:hAnsi="Times New Roman" w:cs="Times New Roman"/>
          <w:sz w:val="24"/>
          <w:szCs w:val="20"/>
        </w:rPr>
        <w:t>Pasaules ekonomika joprojām attīst</w:t>
      </w:r>
      <w:r w:rsidR="002E7E06">
        <w:rPr>
          <w:rFonts w:ascii="Times New Roman" w:eastAsia="Times New Roman" w:hAnsi="Times New Roman" w:cs="Times New Roman"/>
          <w:sz w:val="24"/>
          <w:szCs w:val="20"/>
        </w:rPr>
        <w:t>ās nevienmērīgi un kopumā 2014.</w:t>
      </w:r>
      <w:r w:rsidRPr="003D38BE">
        <w:rPr>
          <w:rFonts w:ascii="Times New Roman" w:eastAsia="Times New Roman" w:hAnsi="Times New Roman" w:cs="Times New Roman"/>
          <w:sz w:val="24"/>
          <w:szCs w:val="20"/>
        </w:rPr>
        <w:t>gadā globālā izaugsme sasnie</w:t>
      </w:r>
      <w:r w:rsidR="002E7E06">
        <w:rPr>
          <w:rFonts w:ascii="Times New Roman" w:eastAsia="Times New Roman" w:hAnsi="Times New Roman" w:cs="Times New Roman"/>
          <w:sz w:val="24"/>
          <w:szCs w:val="20"/>
        </w:rPr>
        <w:t>dza 3,3% salīdzinājumā ar 2013.</w:t>
      </w:r>
      <w:r w:rsidRPr="003D38BE">
        <w:rPr>
          <w:rFonts w:ascii="Times New Roman" w:eastAsia="Times New Roman" w:hAnsi="Times New Roman" w:cs="Times New Roman"/>
          <w:sz w:val="24"/>
          <w:szCs w:val="20"/>
        </w:rPr>
        <w:t xml:space="preserve">gadu. Pasaules ekonomikas attīstības tendences pērn noteica vairāki globāla mēroga notikumi – ģeopolitiskā nestabilitāte Ukrainā un Tuvajos Austrumos, zemā </w:t>
      </w:r>
      <w:r w:rsidR="002E7E06">
        <w:rPr>
          <w:rFonts w:ascii="Times New Roman" w:eastAsia="Times New Roman" w:hAnsi="Times New Roman" w:cs="Times New Roman"/>
          <w:i/>
          <w:sz w:val="24"/>
          <w:szCs w:val="20"/>
        </w:rPr>
        <w:t>euro</w:t>
      </w:r>
      <w:r w:rsidR="002E7E06">
        <w:rPr>
          <w:rFonts w:ascii="Times New Roman" w:eastAsia="Times New Roman" w:hAnsi="Times New Roman" w:cs="Times New Roman"/>
          <w:sz w:val="24"/>
          <w:szCs w:val="20"/>
        </w:rPr>
        <w:t xml:space="preserve"> </w:t>
      </w:r>
      <w:r w:rsidRPr="003D38BE">
        <w:rPr>
          <w:rFonts w:ascii="Times New Roman" w:eastAsia="Times New Roman" w:hAnsi="Times New Roman" w:cs="Times New Roman"/>
          <w:sz w:val="24"/>
          <w:szCs w:val="20"/>
        </w:rPr>
        <w:t>zonas ekonomiskā izaugsme, kā arī stra</w:t>
      </w:r>
      <w:r w:rsidR="002E7E06">
        <w:rPr>
          <w:rFonts w:ascii="Times New Roman" w:eastAsia="Times New Roman" w:hAnsi="Times New Roman" w:cs="Times New Roman"/>
          <w:sz w:val="24"/>
          <w:szCs w:val="20"/>
        </w:rPr>
        <w:t>ujais naftas cenu kritums 2014.</w:t>
      </w:r>
      <w:r w:rsidRPr="003D38BE">
        <w:rPr>
          <w:rFonts w:ascii="Times New Roman" w:eastAsia="Times New Roman" w:hAnsi="Times New Roman" w:cs="Times New Roman"/>
          <w:sz w:val="24"/>
          <w:szCs w:val="20"/>
        </w:rPr>
        <w:t>gada nogalē. Kopumā pasaules izaugsme lēnām paātrinās, taču pieauguma tempi nav tik spēcīgi kā cerēts.</w:t>
      </w:r>
    </w:p>
    <w:p w14:paraId="07E785EA" w14:textId="7C028CBB" w:rsidR="003D38BE" w:rsidRPr="003D38BE" w:rsidRDefault="002E7E06" w:rsidP="00E55BF9">
      <w:pPr>
        <w:spacing w:after="6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ES ekonomikas izaugsme 2014.</w:t>
      </w:r>
      <w:r w:rsidR="003D38BE" w:rsidRPr="003D38BE">
        <w:rPr>
          <w:rFonts w:ascii="Times New Roman" w:eastAsia="Times New Roman" w:hAnsi="Times New Roman" w:cs="Times New Roman"/>
          <w:sz w:val="24"/>
          <w:szCs w:val="20"/>
        </w:rPr>
        <w:t xml:space="preserve">gadā sasniedza 1,3%. </w:t>
      </w:r>
      <w:r>
        <w:rPr>
          <w:rFonts w:ascii="Times New Roman" w:eastAsia="Times New Roman" w:hAnsi="Times New Roman" w:cs="Times New Roman"/>
          <w:sz w:val="24"/>
          <w:szCs w:val="20"/>
        </w:rPr>
        <w:t>Lai arī joprojām zems</w:t>
      </w:r>
      <w:r w:rsidR="003D38BE" w:rsidRPr="003D38BE">
        <w:rPr>
          <w:rFonts w:ascii="Times New Roman" w:eastAsia="Times New Roman" w:hAnsi="Times New Roman" w:cs="Times New Roman"/>
          <w:sz w:val="24"/>
          <w:szCs w:val="20"/>
        </w:rPr>
        <w:t xml:space="preserve"> šis izaugsmes rādītājs</w:t>
      </w:r>
      <w:r>
        <w:rPr>
          <w:rFonts w:ascii="Times New Roman" w:eastAsia="Times New Roman" w:hAnsi="Times New Roman" w:cs="Times New Roman"/>
          <w:sz w:val="24"/>
          <w:szCs w:val="20"/>
        </w:rPr>
        <w:t>,</w:t>
      </w:r>
      <w:r w:rsidR="003D38BE" w:rsidRPr="003D38BE">
        <w:rPr>
          <w:rFonts w:ascii="Times New Roman" w:eastAsia="Times New Roman" w:hAnsi="Times New Roman" w:cs="Times New Roman"/>
          <w:sz w:val="24"/>
          <w:szCs w:val="20"/>
        </w:rPr>
        <w:t xml:space="preserve"> ir jūtams progress salīdzinājumā ar iepriek</w:t>
      </w:r>
      <w:r>
        <w:rPr>
          <w:rFonts w:ascii="Times New Roman" w:eastAsia="Times New Roman" w:hAnsi="Times New Roman" w:cs="Times New Roman"/>
          <w:sz w:val="24"/>
          <w:szCs w:val="20"/>
        </w:rPr>
        <w:t>šējiem gadiem, kad ES IKP 2012.</w:t>
      </w:r>
      <w:r w:rsidR="003D38BE" w:rsidRPr="003D38BE">
        <w:rPr>
          <w:rFonts w:ascii="Times New Roman" w:eastAsia="Times New Roman" w:hAnsi="Times New Roman" w:cs="Times New Roman"/>
          <w:sz w:val="24"/>
          <w:szCs w:val="20"/>
        </w:rPr>
        <w:t>gad</w:t>
      </w:r>
      <w:r>
        <w:rPr>
          <w:rFonts w:ascii="Times New Roman" w:eastAsia="Times New Roman" w:hAnsi="Times New Roman" w:cs="Times New Roman"/>
          <w:sz w:val="24"/>
          <w:szCs w:val="20"/>
        </w:rPr>
        <w:t>ā samazinājās par 0,5% un 2013.</w:t>
      </w:r>
      <w:r w:rsidR="003D38BE" w:rsidRPr="003D38BE">
        <w:rPr>
          <w:rFonts w:ascii="Times New Roman" w:eastAsia="Times New Roman" w:hAnsi="Times New Roman" w:cs="Times New Roman"/>
          <w:sz w:val="24"/>
          <w:szCs w:val="20"/>
        </w:rPr>
        <w:t>gadā nemainījās.</w:t>
      </w:r>
    </w:p>
    <w:p w14:paraId="580926CA" w14:textId="1B6B4A99" w:rsidR="003D38BE" w:rsidRPr="003D38BE" w:rsidRDefault="003D38BE" w:rsidP="002E7E06">
      <w:pPr>
        <w:spacing w:after="60" w:line="240" w:lineRule="auto"/>
        <w:ind w:firstLine="720"/>
        <w:jc w:val="both"/>
        <w:rPr>
          <w:rFonts w:ascii="Times New Roman" w:eastAsia="Times New Roman" w:hAnsi="Times New Roman" w:cs="Times New Roman"/>
          <w:sz w:val="24"/>
          <w:szCs w:val="20"/>
        </w:rPr>
      </w:pPr>
      <w:r w:rsidRPr="003D38BE">
        <w:rPr>
          <w:rFonts w:ascii="Times New Roman" w:eastAsia="Times New Roman" w:hAnsi="Times New Roman" w:cs="Times New Roman"/>
          <w:sz w:val="24"/>
          <w:szCs w:val="20"/>
        </w:rPr>
        <w:t>Pērnā gada sākumā manāmi uzlabojās ES patērētāju un uzņēmēju konfidences līmenis, signalizējot par pozitīvām ekonomiskās attīstības tendencēm, taču gada otrajā pusē līdz ar ģeopolitiskā konflikta saasināšanos un ieviestajām sankcijām starp ES un Krieviju konfidence kritās. Tas atspoguļ</w:t>
      </w:r>
      <w:r w:rsidR="002E7E06">
        <w:rPr>
          <w:rFonts w:ascii="Times New Roman" w:eastAsia="Times New Roman" w:hAnsi="Times New Roman" w:cs="Times New Roman"/>
          <w:sz w:val="24"/>
          <w:szCs w:val="20"/>
        </w:rPr>
        <w:t>ojās arī IKP dinamikā, jo 2014.</w:t>
      </w:r>
      <w:r w:rsidRPr="003D38BE">
        <w:rPr>
          <w:rFonts w:ascii="Times New Roman" w:eastAsia="Times New Roman" w:hAnsi="Times New Roman" w:cs="Times New Roman"/>
          <w:sz w:val="24"/>
          <w:szCs w:val="20"/>
        </w:rPr>
        <w:t xml:space="preserve">gada nogalē izaugsme bija nedaudz vājāka nekā gada sākumā. Saskaņā ar </w:t>
      </w:r>
      <w:r w:rsidR="002E7E06">
        <w:rPr>
          <w:rFonts w:ascii="Times New Roman" w:eastAsia="Times New Roman" w:hAnsi="Times New Roman" w:cs="Times New Roman"/>
          <w:sz w:val="24"/>
          <w:szCs w:val="20"/>
        </w:rPr>
        <w:t>EK 2015.</w:t>
      </w:r>
      <w:r w:rsidRPr="003D38BE">
        <w:rPr>
          <w:rFonts w:ascii="Times New Roman" w:eastAsia="Times New Roman" w:hAnsi="Times New Roman" w:cs="Times New Roman"/>
          <w:sz w:val="24"/>
          <w:szCs w:val="20"/>
        </w:rPr>
        <w:t>gada ziemas prognozēm, ES ekonomiskās izaugsmes tempi turpinās uzlaboties, uzrādot kāpumu par 1,7% u</w:t>
      </w:r>
      <w:r w:rsidR="002E7E06">
        <w:rPr>
          <w:rFonts w:ascii="Times New Roman" w:eastAsia="Times New Roman" w:hAnsi="Times New Roman" w:cs="Times New Roman"/>
          <w:sz w:val="24"/>
          <w:szCs w:val="20"/>
        </w:rPr>
        <w:t>n 2,1% attiecīgi 2015. un 2016.</w:t>
      </w:r>
      <w:r w:rsidRPr="003D38BE">
        <w:rPr>
          <w:rFonts w:ascii="Times New Roman" w:eastAsia="Times New Roman" w:hAnsi="Times New Roman" w:cs="Times New Roman"/>
          <w:sz w:val="24"/>
          <w:szCs w:val="20"/>
        </w:rPr>
        <w:t>gadā.</w:t>
      </w:r>
    </w:p>
    <w:p w14:paraId="722209D7" w14:textId="23852520" w:rsidR="003D38BE" w:rsidRPr="003D38BE" w:rsidRDefault="003D38BE" w:rsidP="002E7E06">
      <w:pPr>
        <w:spacing w:after="60" w:line="240" w:lineRule="auto"/>
        <w:ind w:firstLine="720"/>
        <w:jc w:val="both"/>
        <w:rPr>
          <w:rFonts w:ascii="Times New Roman" w:eastAsia="Times New Roman" w:hAnsi="Times New Roman" w:cs="Times New Roman"/>
          <w:sz w:val="24"/>
          <w:szCs w:val="24"/>
        </w:rPr>
      </w:pPr>
      <w:r w:rsidRPr="003D38BE">
        <w:rPr>
          <w:rFonts w:ascii="Times New Roman" w:eastAsia="Times New Roman" w:hAnsi="Times New Roman" w:cs="Times New Roman"/>
          <w:sz w:val="24"/>
          <w:szCs w:val="20"/>
        </w:rPr>
        <w:t xml:space="preserve">Krievijas ekonomiskā situācija bija sarežģīta jau kopš 2013.gada, bet tās ievainojamību pastiprināja tieši ģeopolitiskais saspīlējums, kā rezultātā pērn Krievijas IKP pieaugums sasniedza vien </w:t>
      </w:r>
      <w:r w:rsidR="00245C37">
        <w:rPr>
          <w:rFonts w:ascii="Times New Roman" w:eastAsia="Times New Roman" w:hAnsi="Times New Roman" w:cs="Times New Roman"/>
          <w:sz w:val="24"/>
          <w:szCs w:val="20"/>
        </w:rPr>
        <w:t>0,6% un atbilstoši EK prognozēm</w:t>
      </w:r>
      <w:r w:rsidRPr="003D38BE">
        <w:rPr>
          <w:rFonts w:ascii="Times New Roman" w:eastAsia="Times New Roman" w:hAnsi="Times New Roman" w:cs="Times New Roman"/>
          <w:sz w:val="24"/>
          <w:szCs w:val="20"/>
        </w:rPr>
        <w:t xml:space="preserve"> Krievijas ekonom</w:t>
      </w:r>
      <w:r w:rsidR="00245C37">
        <w:rPr>
          <w:rFonts w:ascii="Times New Roman" w:eastAsia="Times New Roman" w:hAnsi="Times New Roman" w:cs="Times New Roman"/>
          <w:sz w:val="24"/>
          <w:szCs w:val="20"/>
        </w:rPr>
        <w:t>ika samazināsies par 3,5% 2015.</w:t>
      </w:r>
      <w:r w:rsidRPr="003D38BE">
        <w:rPr>
          <w:rFonts w:ascii="Times New Roman" w:eastAsia="Times New Roman" w:hAnsi="Times New Roman" w:cs="Times New Roman"/>
          <w:sz w:val="24"/>
          <w:szCs w:val="20"/>
        </w:rPr>
        <w:t>gadā un pieaugs vien p</w:t>
      </w:r>
      <w:r w:rsidR="00245C37">
        <w:rPr>
          <w:rFonts w:ascii="Times New Roman" w:eastAsia="Times New Roman" w:hAnsi="Times New Roman" w:cs="Times New Roman"/>
          <w:sz w:val="24"/>
          <w:szCs w:val="20"/>
        </w:rPr>
        <w:t>ar 0,2% 2016.</w:t>
      </w:r>
      <w:r w:rsidRPr="003D38BE">
        <w:rPr>
          <w:rFonts w:ascii="Times New Roman" w:eastAsia="Times New Roman" w:hAnsi="Times New Roman" w:cs="Times New Roman"/>
          <w:sz w:val="24"/>
          <w:szCs w:val="20"/>
        </w:rPr>
        <w:t>gadā. Krievijas ekonomiku negatīvi ietekmē ES ekonomiskās sankcijas, naftas cenu un rubļa kursa kritums, kā rezultātā samazinās Krievijas patērētāju pirktspēja un pieprasījums pēc importa precēm. Tas savukārt negatīvi ietekmē eksportējošos uzņēmumus, kas darbojas</w:t>
      </w:r>
      <w:r w:rsidR="00245C37">
        <w:rPr>
          <w:rFonts w:ascii="Times New Roman" w:eastAsia="Times New Roman" w:hAnsi="Times New Roman" w:cs="Times New Roman"/>
          <w:sz w:val="24"/>
          <w:szCs w:val="20"/>
        </w:rPr>
        <w:t xml:space="preserve"> Krievijas tirgū. Turklāt 2014.</w:t>
      </w:r>
      <w:r w:rsidRPr="003D38BE">
        <w:rPr>
          <w:rFonts w:ascii="Times New Roman" w:eastAsia="Times New Roman" w:hAnsi="Times New Roman" w:cs="Times New Roman"/>
          <w:sz w:val="24"/>
          <w:szCs w:val="20"/>
        </w:rPr>
        <w:t xml:space="preserve">gada augustā Krievijas noteiktais tirdzniecības embargo atsevišķām lauksaimniecības un pārtikas precēm vēl vairāk saasina konkurenci ES, papildus negatīvi ietekmējot Latvijas eksporta potenciālu. </w:t>
      </w:r>
    </w:p>
    <w:p w14:paraId="1EE083FB" w14:textId="1C6DF0A0" w:rsidR="003D38BE" w:rsidRPr="003D38BE" w:rsidRDefault="003D38BE" w:rsidP="002E7E06">
      <w:pPr>
        <w:spacing w:after="60" w:line="240" w:lineRule="auto"/>
        <w:ind w:firstLine="720"/>
        <w:jc w:val="both"/>
        <w:rPr>
          <w:rFonts w:ascii="Times New Roman" w:eastAsia="Times New Roman" w:hAnsi="Times New Roman" w:cs="Times New Roman"/>
          <w:sz w:val="24"/>
          <w:szCs w:val="20"/>
        </w:rPr>
      </w:pPr>
      <w:r w:rsidRPr="003D38BE">
        <w:rPr>
          <w:rFonts w:ascii="Times New Roman" w:eastAsia="Times New Roman" w:hAnsi="Times New Roman" w:cs="Times New Roman"/>
          <w:sz w:val="24"/>
          <w:szCs w:val="20"/>
        </w:rPr>
        <w:t>Pārējo pasaules valstu ekonomiskā attīstība ir svārstīga un neviendabīga. Tā</w:t>
      </w:r>
      <w:r w:rsidR="00245C37">
        <w:rPr>
          <w:rFonts w:ascii="Times New Roman" w:eastAsia="Times New Roman" w:hAnsi="Times New Roman" w:cs="Times New Roman"/>
          <w:sz w:val="24"/>
          <w:szCs w:val="20"/>
        </w:rPr>
        <w:t>, piemēram, ASV ir viena</w:t>
      </w:r>
      <w:r w:rsidRPr="003D38BE">
        <w:rPr>
          <w:rFonts w:ascii="Times New Roman" w:eastAsia="Times New Roman" w:hAnsi="Times New Roman" w:cs="Times New Roman"/>
          <w:sz w:val="24"/>
          <w:szCs w:val="20"/>
        </w:rPr>
        <w:t xml:space="preserve"> no retajām valstīm, kur ekonomiskā izaugsme ir spēcīgāka par prognozēto, ko galvenokārt ietekmē enerģijas cenu strauja</w:t>
      </w:r>
      <w:r w:rsidR="00245C37">
        <w:rPr>
          <w:rFonts w:ascii="Times New Roman" w:eastAsia="Times New Roman" w:hAnsi="Times New Roman" w:cs="Times New Roman"/>
          <w:sz w:val="24"/>
          <w:szCs w:val="20"/>
        </w:rPr>
        <w:t>is kritums. Savukārt Ķīnā 2014.</w:t>
      </w:r>
      <w:r w:rsidRPr="003D38BE">
        <w:rPr>
          <w:rFonts w:ascii="Times New Roman" w:eastAsia="Times New Roman" w:hAnsi="Times New Roman" w:cs="Times New Roman"/>
          <w:sz w:val="24"/>
          <w:szCs w:val="20"/>
        </w:rPr>
        <w:t>gada sākums iezīmējies ar vāju izaugsmi, gadā kopumā IKP piea</w:t>
      </w:r>
      <w:r w:rsidR="00245C37">
        <w:rPr>
          <w:rFonts w:ascii="Times New Roman" w:eastAsia="Times New Roman" w:hAnsi="Times New Roman" w:cs="Times New Roman"/>
          <w:sz w:val="24"/>
          <w:szCs w:val="20"/>
        </w:rPr>
        <w:t xml:space="preserve">ugumam samazinoties līdz 7,4%. </w:t>
      </w:r>
      <w:r w:rsidRPr="003D38BE">
        <w:rPr>
          <w:rFonts w:ascii="Times New Roman" w:eastAsia="Times New Roman" w:hAnsi="Times New Roman" w:cs="Times New Roman"/>
          <w:sz w:val="24"/>
          <w:szCs w:val="20"/>
        </w:rPr>
        <w:t>Savukārt Japānas ekonomikā pērnā gada vidū bija reģistrēts pat kritums, bet gadā kopumā IKP pieaugums veidojis tikai 0,4%</w:t>
      </w:r>
      <w:r w:rsidR="00245C37">
        <w:rPr>
          <w:rFonts w:ascii="Times New Roman" w:eastAsia="Times New Roman" w:hAnsi="Times New Roman" w:cs="Times New Roman"/>
          <w:sz w:val="24"/>
          <w:szCs w:val="20"/>
        </w:rPr>
        <w:t xml:space="preserve">. </w:t>
      </w:r>
      <w:r w:rsidRPr="003D38BE">
        <w:rPr>
          <w:rFonts w:ascii="Times New Roman" w:eastAsia="Times New Roman" w:hAnsi="Times New Roman" w:cs="Times New Roman"/>
          <w:sz w:val="24"/>
          <w:szCs w:val="20"/>
        </w:rPr>
        <w:t>Taču arī šo valstu un Āzijas reģiona kopējo izaugsmi turpmāk veicinās zemās naftas cenas, stimulējot pieprasījuma pieaugumu.</w:t>
      </w:r>
    </w:p>
    <w:p w14:paraId="3006132C" w14:textId="66C4F8A8" w:rsidR="00A02E4F" w:rsidRDefault="00245C37" w:rsidP="00421D0B">
      <w:pPr>
        <w:spacing w:before="240" w:after="120" w:line="240" w:lineRule="auto"/>
        <w:jc w:val="right"/>
        <w:rPr>
          <w:b/>
          <w:szCs w:val="24"/>
        </w:rPr>
      </w:pPr>
      <w:r>
        <w:rPr>
          <w:rFonts w:ascii="Times New Roman" w:hAnsi="Times New Roman" w:cs="Times New Roman"/>
          <w:b/>
          <w:sz w:val="24"/>
          <w:szCs w:val="24"/>
        </w:rPr>
        <w:t>2.1.</w:t>
      </w:r>
      <w:r w:rsidR="00A02E4F" w:rsidRPr="00A02E4F">
        <w:rPr>
          <w:rFonts w:ascii="Times New Roman" w:hAnsi="Times New Roman" w:cs="Times New Roman"/>
          <w:b/>
          <w:sz w:val="24"/>
          <w:szCs w:val="24"/>
        </w:rPr>
        <w:t>tabula. Lielāko pasaules ekonomiku IKP pieauguma tempi un prognozes, % pret iepriekšējo gadu</w:t>
      </w:r>
      <w:r w:rsidR="00A02E4F" w:rsidRPr="00A02E4F">
        <w:rPr>
          <w:rStyle w:val="FootnoteReference"/>
          <w:rFonts w:ascii="Times New Roman" w:hAnsi="Times New Roman" w:cs="Times New Roman"/>
          <w:b/>
          <w:sz w:val="24"/>
          <w:szCs w:val="24"/>
        </w:rPr>
        <w:footnoteReference w:id="1"/>
      </w:r>
    </w:p>
    <w:tbl>
      <w:tblPr>
        <w:tblStyle w:val="GridTable6ColorfulAccent1"/>
        <w:tblW w:w="0" w:type="auto"/>
        <w:jc w:val="center"/>
        <w:tblLayout w:type="fixed"/>
        <w:tblLook w:val="04A0" w:firstRow="1" w:lastRow="0" w:firstColumn="1" w:lastColumn="0" w:noHBand="0" w:noVBand="1"/>
      </w:tblPr>
      <w:tblGrid>
        <w:gridCol w:w="4962"/>
        <w:gridCol w:w="1012"/>
        <w:gridCol w:w="1012"/>
        <w:gridCol w:w="1012"/>
        <w:gridCol w:w="1012"/>
      </w:tblGrid>
      <w:tr w:rsidR="00D811E2" w:rsidRPr="00D811E2" w14:paraId="7834626E" w14:textId="77777777" w:rsidTr="00032492">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962" w:type="dxa"/>
          </w:tcPr>
          <w:p w14:paraId="2F504509" w14:textId="77777777" w:rsidR="00A02E4F" w:rsidRPr="00D811E2" w:rsidRDefault="00A02E4F" w:rsidP="00E773FD">
            <w:pPr>
              <w:rPr>
                <w:rFonts w:ascii="Times New Roman" w:hAnsi="Times New Roman" w:cs="Times New Roman"/>
                <w:b w:val="0"/>
                <w:color w:val="auto"/>
                <w:sz w:val="20"/>
                <w:szCs w:val="20"/>
              </w:rPr>
            </w:pPr>
          </w:p>
        </w:tc>
        <w:tc>
          <w:tcPr>
            <w:tcW w:w="1012" w:type="dxa"/>
            <w:vAlign w:val="center"/>
          </w:tcPr>
          <w:p w14:paraId="35753DD1" w14:textId="77777777" w:rsidR="00A02E4F" w:rsidRPr="00D811E2" w:rsidRDefault="00A02E4F" w:rsidP="00D8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2013</w:t>
            </w:r>
          </w:p>
        </w:tc>
        <w:tc>
          <w:tcPr>
            <w:tcW w:w="1012" w:type="dxa"/>
            <w:vAlign w:val="center"/>
          </w:tcPr>
          <w:p w14:paraId="6DD142B4" w14:textId="77777777" w:rsidR="00A02E4F" w:rsidRPr="00D811E2" w:rsidRDefault="00A02E4F" w:rsidP="00D8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2014</w:t>
            </w:r>
          </w:p>
        </w:tc>
        <w:tc>
          <w:tcPr>
            <w:tcW w:w="1012" w:type="dxa"/>
            <w:vAlign w:val="center"/>
          </w:tcPr>
          <w:p w14:paraId="0FF8F40C" w14:textId="77777777" w:rsidR="00A02E4F" w:rsidRPr="00D811E2" w:rsidRDefault="00A02E4F" w:rsidP="00D8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2015p</w:t>
            </w:r>
          </w:p>
        </w:tc>
        <w:tc>
          <w:tcPr>
            <w:tcW w:w="1012" w:type="dxa"/>
            <w:vAlign w:val="center"/>
          </w:tcPr>
          <w:p w14:paraId="5CB71F30" w14:textId="77777777" w:rsidR="00A02E4F" w:rsidRPr="00D811E2" w:rsidRDefault="00A02E4F" w:rsidP="00D8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2016p</w:t>
            </w:r>
          </w:p>
        </w:tc>
      </w:tr>
      <w:tr w:rsidR="00D811E2" w:rsidRPr="00D811E2" w14:paraId="5F66F1E0" w14:textId="77777777" w:rsidTr="00032492">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962" w:type="dxa"/>
          </w:tcPr>
          <w:p w14:paraId="0CB108AE" w14:textId="77777777" w:rsidR="00A02E4F" w:rsidRPr="00D811E2" w:rsidRDefault="00A02E4F" w:rsidP="00E773FD">
            <w:pP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Pasaule</w:t>
            </w:r>
          </w:p>
        </w:tc>
        <w:tc>
          <w:tcPr>
            <w:tcW w:w="1012" w:type="dxa"/>
          </w:tcPr>
          <w:p w14:paraId="7EA6B248"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3,3</w:t>
            </w:r>
          </w:p>
        </w:tc>
        <w:tc>
          <w:tcPr>
            <w:tcW w:w="1012" w:type="dxa"/>
          </w:tcPr>
          <w:p w14:paraId="5C126166"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3,3</w:t>
            </w:r>
          </w:p>
        </w:tc>
        <w:tc>
          <w:tcPr>
            <w:tcW w:w="1012" w:type="dxa"/>
          </w:tcPr>
          <w:p w14:paraId="482F7FF6"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3,6</w:t>
            </w:r>
          </w:p>
        </w:tc>
        <w:tc>
          <w:tcPr>
            <w:tcW w:w="1012" w:type="dxa"/>
          </w:tcPr>
          <w:p w14:paraId="614CEE83"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4,0</w:t>
            </w:r>
          </w:p>
        </w:tc>
      </w:tr>
      <w:tr w:rsidR="00D811E2" w:rsidRPr="00D811E2" w14:paraId="19AC7CEB" w14:textId="77777777" w:rsidTr="00032492">
        <w:trPr>
          <w:trHeight w:val="264"/>
          <w:jc w:val="center"/>
        </w:trPr>
        <w:tc>
          <w:tcPr>
            <w:cnfStyle w:val="001000000000" w:firstRow="0" w:lastRow="0" w:firstColumn="1" w:lastColumn="0" w:oddVBand="0" w:evenVBand="0" w:oddHBand="0" w:evenHBand="0" w:firstRowFirstColumn="0" w:firstRowLastColumn="0" w:lastRowFirstColumn="0" w:lastRowLastColumn="0"/>
            <w:tcW w:w="4962" w:type="dxa"/>
          </w:tcPr>
          <w:p w14:paraId="0B5A19DC" w14:textId="2B65DAD7" w:rsidR="00A02E4F" w:rsidRPr="00D811E2" w:rsidRDefault="00245C37" w:rsidP="00E773FD">
            <w:pPr>
              <w:rPr>
                <w:rFonts w:ascii="Times New Roman" w:hAnsi="Times New Roman" w:cs="Times New Roman"/>
                <w:b w:val="0"/>
                <w:color w:val="auto"/>
                <w:sz w:val="20"/>
                <w:szCs w:val="20"/>
              </w:rPr>
            </w:pPr>
            <w:r w:rsidRPr="00D811E2">
              <w:rPr>
                <w:rFonts w:ascii="Times New Roman" w:hAnsi="Times New Roman" w:cs="Times New Roman"/>
                <w:b w:val="0"/>
                <w:i/>
                <w:color w:val="auto"/>
                <w:sz w:val="20"/>
                <w:szCs w:val="20"/>
              </w:rPr>
              <w:t>Euro</w:t>
            </w:r>
            <w:r w:rsidRPr="00D811E2">
              <w:rPr>
                <w:rFonts w:ascii="Times New Roman" w:hAnsi="Times New Roman" w:cs="Times New Roman"/>
                <w:b w:val="0"/>
                <w:color w:val="auto"/>
                <w:sz w:val="20"/>
                <w:szCs w:val="20"/>
              </w:rPr>
              <w:t xml:space="preserve"> </w:t>
            </w:r>
            <w:r w:rsidR="00A02E4F" w:rsidRPr="00D811E2">
              <w:rPr>
                <w:rFonts w:ascii="Times New Roman" w:hAnsi="Times New Roman" w:cs="Times New Roman"/>
                <w:b w:val="0"/>
                <w:color w:val="auto"/>
                <w:sz w:val="20"/>
                <w:szCs w:val="20"/>
              </w:rPr>
              <w:t>zona</w:t>
            </w:r>
          </w:p>
        </w:tc>
        <w:tc>
          <w:tcPr>
            <w:tcW w:w="1012" w:type="dxa"/>
          </w:tcPr>
          <w:p w14:paraId="1A9ECD96"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-0,5</w:t>
            </w:r>
          </w:p>
        </w:tc>
        <w:tc>
          <w:tcPr>
            <w:tcW w:w="1012" w:type="dxa"/>
          </w:tcPr>
          <w:p w14:paraId="5941C3F7"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0,8</w:t>
            </w:r>
          </w:p>
        </w:tc>
        <w:tc>
          <w:tcPr>
            <w:tcW w:w="1012" w:type="dxa"/>
          </w:tcPr>
          <w:p w14:paraId="4B07B7B7"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1,3</w:t>
            </w:r>
          </w:p>
        </w:tc>
        <w:tc>
          <w:tcPr>
            <w:tcW w:w="1012" w:type="dxa"/>
          </w:tcPr>
          <w:p w14:paraId="021FD149"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1,9</w:t>
            </w:r>
          </w:p>
        </w:tc>
      </w:tr>
      <w:tr w:rsidR="00D811E2" w:rsidRPr="00D811E2" w14:paraId="05207E0A" w14:textId="77777777" w:rsidTr="00032492">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4962" w:type="dxa"/>
          </w:tcPr>
          <w:p w14:paraId="0940FAF9" w14:textId="77777777" w:rsidR="00A02E4F" w:rsidRPr="00D811E2" w:rsidRDefault="00A02E4F" w:rsidP="00E773FD">
            <w:pP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Vācija</w:t>
            </w:r>
          </w:p>
        </w:tc>
        <w:tc>
          <w:tcPr>
            <w:tcW w:w="1012" w:type="dxa"/>
          </w:tcPr>
          <w:p w14:paraId="1CE8E465"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0,1</w:t>
            </w:r>
          </w:p>
        </w:tc>
        <w:tc>
          <w:tcPr>
            <w:tcW w:w="1012" w:type="dxa"/>
          </w:tcPr>
          <w:p w14:paraId="2D8ECA8A"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1,5</w:t>
            </w:r>
          </w:p>
        </w:tc>
        <w:tc>
          <w:tcPr>
            <w:tcW w:w="1012" w:type="dxa"/>
          </w:tcPr>
          <w:p w14:paraId="59FCCD6C"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1,5</w:t>
            </w:r>
          </w:p>
        </w:tc>
        <w:tc>
          <w:tcPr>
            <w:tcW w:w="1012" w:type="dxa"/>
          </w:tcPr>
          <w:p w14:paraId="52619867"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2,0</w:t>
            </w:r>
          </w:p>
        </w:tc>
      </w:tr>
      <w:tr w:rsidR="00D811E2" w:rsidRPr="00D811E2" w14:paraId="27D3010D" w14:textId="77777777" w:rsidTr="00032492">
        <w:trPr>
          <w:trHeight w:val="271"/>
          <w:jc w:val="center"/>
        </w:trPr>
        <w:tc>
          <w:tcPr>
            <w:cnfStyle w:val="001000000000" w:firstRow="0" w:lastRow="0" w:firstColumn="1" w:lastColumn="0" w:oddVBand="0" w:evenVBand="0" w:oddHBand="0" w:evenHBand="0" w:firstRowFirstColumn="0" w:firstRowLastColumn="0" w:lastRowFirstColumn="0" w:lastRowLastColumn="0"/>
            <w:tcW w:w="4962" w:type="dxa"/>
          </w:tcPr>
          <w:p w14:paraId="4A8FF836" w14:textId="77777777" w:rsidR="00A02E4F" w:rsidRPr="00D811E2" w:rsidRDefault="00A02E4F" w:rsidP="00E773FD">
            <w:pP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Lielbritānija</w:t>
            </w:r>
          </w:p>
        </w:tc>
        <w:tc>
          <w:tcPr>
            <w:tcW w:w="1012" w:type="dxa"/>
          </w:tcPr>
          <w:p w14:paraId="1031FA66"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1,7</w:t>
            </w:r>
          </w:p>
        </w:tc>
        <w:tc>
          <w:tcPr>
            <w:tcW w:w="1012" w:type="dxa"/>
          </w:tcPr>
          <w:p w14:paraId="685FD92B"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2,6</w:t>
            </w:r>
          </w:p>
        </w:tc>
        <w:tc>
          <w:tcPr>
            <w:tcW w:w="1012" w:type="dxa"/>
          </w:tcPr>
          <w:p w14:paraId="401B36B7"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2,6</w:t>
            </w:r>
          </w:p>
        </w:tc>
        <w:tc>
          <w:tcPr>
            <w:tcW w:w="1012" w:type="dxa"/>
          </w:tcPr>
          <w:p w14:paraId="6F0EDA20"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2,4</w:t>
            </w:r>
          </w:p>
        </w:tc>
      </w:tr>
      <w:tr w:rsidR="00D811E2" w:rsidRPr="00D811E2" w14:paraId="785D484A" w14:textId="77777777" w:rsidTr="00032492">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962" w:type="dxa"/>
          </w:tcPr>
          <w:p w14:paraId="64DC1A46" w14:textId="77777777" w:rsidR="00A02E4F" w:rsidRPr="00D811E2" w:rsidRDefault="00A02E4F" w:rsidP="00E773FD">
            <w:pP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ASV</w:t>
            </w:r>
          </w:p>
        </w:tc>
        <w:tc>
          <w:tcPr>
            <w:tcW w:w="1012" w:type="dxa"/>
          </w:tcPr>
          <w:p w14:paraId="6AE8E55D"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2,2</w:t>
            </w:r>
          </w:p>
        </w:tc>
        <w:tc>
          <w:tcPr>
            <w:tcW w:w="1012" w:type="dxa"/>
          </w:tcPr>
          <w:p w14:paraId="03B41D3F"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2,4</w:t>
            </w:r>
          </w:p>
        </w:tc>
        <w:tc>
          <w:tcPr>
            <w:tcW w:w="1012" w:type="dxa"/>
          </w:tcPr>
          <w:p w14:paraId="2FD2A220"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3,5</w:t>
            </w:r>
          </w:p>
        </w:tc>
        <w:tc>
          <w:tcPr>
            <w:tcW w:w="1012" w:type="dxa"/>
          </w:tcPr>
          <w:p w14:paraId="3EA26DDB"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3,2</w:t>
            </w:r>
          </w:p>
        </w:tc>
      </w:tr>
      <w:tr w:rsidR="00D811E2" w:rsidRPr="00D811E2" w14:paraId="12F84CFB" w14:textId="77777777" w:rsidTr="00032492">
        <w:trPr>
          <w:trHeight w:val="279"/>
          <w:jc w:val="center"/>
        </w:trPr>
        <w:tc>
          <w:tcPr>
            <w:cnfStyle w:val="001000000000" w:firstRow="0" w:lastRow="0" w:firstColumn="1" w:lastColumn="0" w:oddVBand="0" w:evenVBand="0" w:oddHBand="0" w:evenHBand="0" w:firstRowFirstColumn="0" w:firstRowLastColumn="0" w:lastRowFirstColumn="0" w:lastRowLastColumn="0"/>
            <w:tcW w:w="4962" w:type="dxa"/>
          </w:tcPr>
          <w:p w14:paraId="2DAB4801" w14:textId="77777777" w:rsidR="00A02E4F" w:rsidRPr="00D811E2" w:rsidRDefault="00A02E4F" w:rsidP="00E773FD">
            <w:pP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Japāna</w:t>
            </w:r>
          </w:p>
        </w:tc>
        <w:tc>
          <w:tcPr>
            <w:tcW w:w="1012" w:type="dxa"/>
          </w:tcPr>
          <w:p w14:paraId="1EF6116D"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1,6</w:t>
            </w:r>
          </w:p>
        </w:tc>
        <w:tc>
          <w:tcPr>
            <w:tcW w:w="1012" w:type="dxa"/>
          </w:tcPr>
          <w:p w14:paraId="61074BE0"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0,4</w:t>
            </w:r>
          </w:p>
        </w:tc>
        <w:tc>
          <w:tcPr>
            <w:tcW w:w="1012" w:type="dxa"/>
          </w:tcPr>
          <w:p w14:paraId="6FF6C2F0"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1,3</w:t>
            </w:r>
          </w:p>
        </w:tc>
        <w:tc>
          <w:tcPr>
            <w:tcW w:w="1012" w:type="dxa"/>
          </w:tcPr>
          <w:p w14:paraId="68A166F9" w14:textId="77777777" w:rsidR="00A02E4F" w:rsidRPr="00D811E2" w:rsidRDefault="00A02E4F" w:rsidP="00A30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1,3</w:t>
            </w:r>
          </w:p>
        </w:tc>
      </w:tr>
      <w:tr w:rsidR="00D811E2" w:rsidRPr="00D811E2" w14:paraId="35A97273" w14:textId="77777777" w:rsidTr="00032492">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4962" w:type="dxa"/>
          </w:tcPr>
          <w:p w14:paraId="5AADE996" w14:textId="77777777" w:rsidR="00A02E4F" w:rsidRPr="00D811E2" w:rsidRDefault="00A02E4F" w:rsidP="00E773FD">
            <w:pP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Ķīna</w:t>
            </w:r>
          </w:p>
        </w:tc>
        <w:tc>
          <w:tcPr>
            <w:tcW w:w="1012" w:type="dxa"/>
          </w:tcPr>
          <w:p w14:paraId="5CE7065E"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7,6</w:t>
            </w:r>
          </w:p>
        </w:tc>
        <w:tc>
          <w:tcPr>
            <w:tcW w:w="1012" w:type="dxa"/>
          </w:tcPr>
          <w:p w14:paraId="25EC2D0D"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7,4</w:t>
            </w:r>
          </w:p>
        </w:tc>
        <w:tc>
          <w:tcPr>
            <w:tcW w:w="1012" w:type="dxa"/>
          </w:tcPr>
          <w:p w14:paraId="70890A96"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7,1</w:t>
            </w:r>
          </w:p>
        </w:tc>
        <w:tc>
          <w:tcPr>
            <w:tcW w:w="1012" w:type="dxa"/>
          </w:tcPr>
          <w:p w14:paraId="5468058A" w14:textId="77777777" w:rsidR="00A02E4F" w:rsidRPr="00D811E2" w:rsidRDefault="00A02E4F" w:rsidP="00A30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6,9</w:t>
            </w:r>
          </w:p>
        </w:tc>
      </w:tr>
    </w:tbl>
    <w:p w14:paraId="40986E29" w14:textId="65CE2AF5" w:rsidR="00A02E4F" w:rsidRPr="00A02E4F" w:rsidRDefault="00A02E4F" w:rsidP="004C6CC5">
      <w:pPr>
        <w:pStyle w:val="Default"/>
        <w:spacing w:before="120" w:after="60"/>
        <w:ind w:firstLine="720"/>
        <w:jc w:val="both"/>
        <w:rPr>
          <w:szCs w:val="23"/>
        </w:rPr>
      </w:pPr>
      <w:r w:rsidRPr="00A02E4F">
        <w:rPr>
          <w:szCs w:val="23"/>
        </w:rPr>
        <w:lastRenderedPageBreak/>
        <w:t xml:space="preserve">Naftas cenu straujās izmaiņas, tām samazinoties par 44% laikā posmā no 2014.gada septembra sākuma līdz decembra beigām, </w:t>
      </w:r>
      <w:r w:rsidR="00245C37">
        <w:rPr>
          <w:szCs w:val="23"/>
        </w:rPr>
        <w:t>ES</w:t>
      </w:r>
      <w:r w:rsidRPr="00A02E4F">
        <w:rPr>
          <w:szCs w:val="23"/>
        </w:rPr>
        <w:t xml:space="preserve"> </w:t>
      </w:r>
      <w:r w:rsidR="00245C37">
        <w:rPr>
          <w:szCs w:val="23"/>
        </w:rPr>
        <w:t>dalīb</w:t>
      </w:r>
      <w:r w:rsidRPr="00A02E4F">
        <w:rPr>
          <w:szCs w:val="23"/>
        </w:rPr>
        <w:t>valstis, tai skaitā Latviju, kas ir naftas importētājas, ietekmēs pozitīvi. Lētāka nafta nozīmē zemākas ražošanas izmaksas un pievilcīgākas degvielas cenas, tādējādi veicinot privātā patēriņa kāpumu. Tajā pašā laikā šie notikumi samazina inflācijas prognoz</w:t>
      </w:r>
      <w:r w:rsidR="00245C37">
        <w:rPr>
          <w:szCs w:val="23"/>
        </w:rPr>
        <w:t>i 2015.</w:t>
      </w:r>
      <w:r w:rsidRPr="00A02E4F">
        <w:rPr>
          <w:szCs w:val="23"/>
        </w:rPr>
        <w:t>gadam, lai arī inflācijas līmenis ES jau tā ir ļoti zems. Taču naftas eksportētājvalstis, kas galvenokārt ir attīstības valstis, ir zaudētājas naftas cenu krituma rezultātā, jo būtiski samazinās to budžeta ieņēmumi. Turklāt vājāka ekonomiskā situācija attīstības valstīs norāda uz zemāku ārējo pieprasījumu ES valstīm. Tādējādi naftas cenu izmaiņas pasaules valstis ietekmē dažādi un turpmāk uzsvērs reģionālās atšķirības.</w:t>
      </w:r>
    </w:p>
    <w:p w14:paraId="32C6E034" w14:textId="34A244EA" w:rsidR="00A02E4F" w:rsidRPr="00A02E4F" w:rsidRDefault="00A02E4F" w:rsidP="00A02E4F">
      <w:pPr>
        <w:pStyle w:val="Default"/>
        <w:spacing w:after="60"/>
        <w:ind w:firstLine="720"/>
        <w:jc w:val="both"/>
        <w:rPr>
          <w:szCs w:val="23"/>
        </w:rPr>
      </w:pPr>
      <w:r w:rsidRPr="00A02E4F">
        <w:rPr>
          <w:szCs w:val="23"/>
        </w:rPr>
        <w:t xml:space="preserve">Taču, neskatoties uz naftas cenu atšķirīgo ekonomisko ietekmi dažādos reģionos, starptautisko finanšu institūciju prognozes liecina, ka naftas cenu krituma kopējā ietekme uz pasaules ekonomiku būs pozitīva. Piemēram, </w:t>
      </w:r>
      <w:r w:rsidR="00245C37">
        <w:rPr>
          <w:szCs w:val="23"/>
        </w:rPr>
        <w:t>SVF</w:t>
      </w:r>
      <w:r w:rsidRPr="00A02E4F">
        <w:rPr>
          <w:szCs w:val="23"/>
        </w:rPr>
        <w:t xml:space="preserve"> eksperti ir aprēķinājuši, ka naftas cenu kritums</w:t>
      </w:r>
      <w:r w:rsidR="00245C37">
        <w:rPr>
          <w:szCs w:val="23"/>
        </w:rPr>
        <w:t xml:space="preserve"> par 60% laika posmā līdz 2019.</w:t>
      </w:r>
      <w:r w:rsidRPr="00A02E4F">
        <w:rPr>
          <w:szCs w:val="23"/>
        </w:rPr>
        <w:t>gadam veicinās pasaules IKP pieaugu</w:t>
      </w:r>
      <w:r w:rsidR="00245C37">
        <w:rPr>
          <w:szCs w:val="23"/>
        </w:rPr>
        <w:t>mu par 0,3-0,8% 2015. un 2016.g</w:t>
      </w:r>
      <w:r w:rsidRPr="00A02E4F">
        <w:rPr>
          <w:szCs w:val="23"/>
        </w:rPr>
        <w:t>adā.</w:t>
      </w:r>
      <w:r w:rsidRPr="00245C37">
        <w:rPr>
          <w:szCs w:val="23"/>
          <w:vertAlign w:val="superscript"/>
        </w:rPr>
        <w:footnoteReference w:id="2"/>
      </w:r>
    </w:p>
    <w:p w14:paraId="12940568" w14:textId="08431F94" w:rsidR="00A02E4F" w:rsidRPr="00A02E4F" w:rsidRDefault="00A02E4F" w:rsidP="00A02E4F">
      <w:pPr>
        <w:pStyle w:val="Default"/>
        <w:spacing w:after="60"/>
        <w:ind w:firstLine="720"/>
        <w:jc w:val="both"/>
        <w:rPr>
          <w:szCs w:val="23"/>
        </w:rPr>
      </w:pPr>
      <w:r w:rsidRPr="00A02E4F">
        <w:rPr>
          <w:szCs w:val="23"/>
        </w:rPr>
        <w:t>Neskatoties uz naftas cenu krituma pozitīvo ietekmi, gada sākumā EK ir samazinājusi gl</w:t>
      </w:r>
      <w:r w:rsidR="00245C37">
        <w:rPr>
          <w:szCs w:val="23"/>
        </w:rPr>
        <w:t>obālās izaugsmes prognozi 2015.</w:t>
      </w:r>
      <w:r w:rsidRPr="00A02E4F">
        <w:rPr>
          <w:szCs w:val="23"/>
        </w:rPr>
        <w:t>g</w:t>
      </w:r>
      <w:r w:rsidR="00245C37">
        <w:rPr>
          <w:szCs w:val="23"/>
        </w:rPr>
        <w:t>adam no 3,8% uz 3,6%, bet 2016.</w:t>
      </w:r>
      <w:r w:rsidRPr="00A02E4F">
        <w:rPr>
          <w:szCs w:val="23"/>
        </w:rPr>
        <w:t xml:space="preserve">gadam – no 4,1% uz 4,0%. Taču </w:t>
      </w:r>
      <w:r w:rsidR="00245C37">
        <w:rPr>
          <w:i/>
          <w:szCs w:val="23"/>
        </w:rPr>
        <w:t>euro</w:t>
      </w:r>
      <w:r w:rsidR="00245C37">
        <w:rPr>
          <w:szCs w:val="23"/>
        </w:rPr>
        <w:t xml:space="preserve"> </w:t>
      </w:r>
      <w:r w:rsidRPr="00A02E4F">
        <w:rPr>
          <w:szCs w:val="23"/>
        </w:rPr>
        <w:t xml:space="preserve">zonas IKP pieauguma prognoze, tieši otrādi, tika paaugstināta – par 0,2 procentpunktiem uz 1,3% un 1,9% attiecīgi 2015. un 2016. gadā. Papildus zemajām naftas cenām augstāku izaugsmi </w:t>
      </w:r>
      <w:r w:rsidR="00245C37">
        <w:rPr>
          <w:i/>
          <w:szCs w:val="23"/>
        </w:rPr>
        <w:t>euro</w:t>
      </w:r>
      <w:r w:rsidR="00245C37">
        <w:rPr>
          <w:szCs w:val="23"/>
        </w:rPr>
        <w:t xml:space="preserve"> </w:t>
      </w:r>
      <w:r w:rsidRPr="00A02E4F">
        <w:rPr>
          <w:szCs w:val="23"/>
        </w:rPr>
        <w:t xml:space="preserve">zonā veicinās EK jaunā investīciju plāna realizēšana, kas paredz laikā līdz 2017.gadam piesaistīt ekonomikā jaunas publiskās un privātās investīcijas vismaz 315 miljardu </w:t>
      </w:r>
      <w:r w:rsidR="007E5182">
        <w:rPr>
          <w:i/>
          <w:szCs w:val="23"/>
        </w:rPr>
        <w:t>euro</w:t>
      </w:r>
      <w:r w:rsidRPr="00A02E4F">
        <w:rPr>
          <w:szCs w:val="23"/>
        </w:rPr>
        <w:t xml:space="preserve"> apmērā.</w:t>
      </w:r>
    </w:p>
    <w:p w14:paraId="53A02A71" w14:textId="7149159C" w:rsidR="00A02E4F" w:rsidRDefault="007E5182" w:rsidP="00A02E4F">
      <w:pPr>
        <w:pStyle w:val="Default"/>
        <w:spacing w:after="60"/>
        <w:ind w:firstLine="720"/>
        <w:jc w:val="both"/>
        <w:rPr>
          <w:szCs w:val="23"/>
        </w:rPr>
      </w:pPr>
      <w:r>
        <w:rPr>
          <w:szCs w:val="23"/>
        </w:rPr>
        <w:t>ECB</w:t>
      </w:r>
      <w:r w:rsidR="00A02E4F" w:rsidRPr="00A02E4F">
        <w:rPr>
          <w:szCs w:val="23"/>
        </w:rPr>
        <w:t xml:space="preserve"> savukārt deflācijas novēršanai un ekonomiskās izaugsmes veicināšanai ir paplašinājusi savus monetārās stimulēšanas pasākumus, no </w:t>
      </w:r>
      <w:r w:rsidR="003D38BE">
        <w:rPr>
          <w:szCs w:val="23"/>
        </w:rPr>
        <w:t xml:space="preserve">2015.gada </w:t>
      </w:r>
      <w:r w:rsidR="00A02E4F" w:rsidRPr="00A02E4F">
        <w:rPr>
          <w:szCs w:val="23"/>
        </w:rPr>
        <w:t xml:space="preserve">marta savā aktīvu iegādes programmā ietverot arī valdību vērtspapīrus. Aktīvu iegāžu kopējais apjoms mēnesī sasniegs 60 miljardus </w:t>
      </w:r>
      <w:r>
        <w:rPr>
          <w:i/>
          <w:szCs w:val="23"/>
        </w:rPr>
        <w:t>euro</w:t>
      </w:r>
      <w:r w:rsidR="00A02E4F" w:rsidRPr="00A02E4F">
        <w:rPr>
          <w:szCs w:val="23"/>
        </w:rPr>
        <w:t xml:space="preserve"> un programma darbosies vismaz līdz 2016.gada septembra beigām, veicinot uzņēmumu un privātpersonu kreditēšanu, iepludinot ekonomikā papildus naudas līdzekļus un stimulējot ekonomisko aktivitāti </w:t>
      </w:r>
      <w:r>
        <w:rPr>
          <w:i/>
          <w:szCs w:val="23"/>
        </w:rPr>
        <w:t>euro</w:t>
      </w:r>
      <w:r>
        <w:rPr>
          <w:szCs w:val="23"/>
        </w:rPr>
        <w:t xml:space="preserve"> zonā.</w:t>
      </w:r>
      <w:r w:rsidR="00A02E4F" w:rsidRPr="00A02E4F">
        <w:rPr>
          <w:szCs w:val="23"/>
        </w:rPr>
        <w:t xml:space="preserve"> Arī </w:t>
      </w:r>
      <w:r>
        <w:rPr>
          <w:i/>
          <w:szCs w:val="23"/>
        </w:rPr>
        <w:t>euro</w:t>
      </w:r>
      <w:r>
        <w:rPr>
          <w:szCs w:val="23"/>
        </w:rPr>
        <w:t xml:space="preserve"> </w:t>
      </w:r>
      <w:r w:rsidR="00A02E4F" w:rsidRPr="00A02E4F">
        <w:rPr>
          <w:szCs w:val="23"/>
        </w:rPr>
        <w:t xml:space="preserve">vērtības samazināšanās pret ASV dolāru nostiprinās </w:t>
      </w:r>
      <w:r>
        <w:rPr>
          <w:i/>
          <w:szCs w:val="23"/>
        </w:rPr>
        <w:t>euro</w:t>
      </w:r>
      <w:r>
        <w:rPr>
          <w:szCs w:val="23"/>
        </w:rPr>
        <w:t xml:space="preserve"> </w:t>
      </w:r>
      <w:r w:rsidR="00A02E4F" w:rsidRPr="00A02E4F">
        <w:rPr>
          <w:szCs w:val="23"/>
        </w:rPr>
        <w:t>zonas uzņēmumu cenu konkurētspēju un veicinās eksportu.</w:t>
      </w:r>
    </w:p>
    <w:p w14:paraId="1E933D14" w14:textId="048D9064" w:rsidR="003D38BE" w:rsidRPr="00A02E4F" w:rsidRDefault="003D38BE" w:rsidP="00A02E4F">
      <w:pPr>
        <w:pStyle w:val="Default"/>
        <w:spacing w:after="60"/>
        <w:ind w:firstLine="720"/>
        <w:jc w:val="both"/>
        <w:rPr>
          <w:szCs w:val="23"/>
        </w:rPr>
      </w:pPr>
      <w:r w:rsidRPr="003D38BE">
        <w:rPr>
          <w:szCs w:val="23"/>
        </w:rPr>
        <w:t>Latvijas un tās galveno tirdzniecības partnervalstu vidējā s</w:t>
      </w:r>
      <w:r w:rsidR="007E5182">
        <w:rPr>
          <w:szCs w:val="23"/>
        </w:rPr>
        <w:t>vērtā ekonomikas izaugsme 2014.</w:t>
      </w:r>
      <w:r w:rsidRPr="003D38BE">
        <w:rPr>
          <w:szCs w:val="23"/>
        </w:rPr>
        <w:t>gada nogalē bija vienā līmenī, aizvien pārsniedzot ES vidējo rādītāju, lai arī izaugsmes tempu dinamika norāda uz ekonomikas pieaugumu tuvināšanos. Tur</w:t>
      </w:r>
      <w:r w:rsidR="007E5182">
        <w:rPr>
          <w:szCs w:val="23"/>
        </w:rPr>
        <w:t>klāt atbilstoši prognozēm 2015.</w:t>
      </w:r>
      <w:r w:rsidRPr="003D38BE">
        <w:rPr>
          <w:szCs w:val="23"/>
        </w:rPr>
        <w:t>gadā ES kopējā izaugsme pārsniegs Latvijas tirdzniecības partneru izaugsmi, kas skaidrojams ar negatīvo IKP pieauguma prognozi Krievijai.</w:t>
      </w:r>
    </w:p>
    <w:p w14:paraId="0190044A" w14:textId="2E3556D7" w:rsidR="00A02E4F" w:rsidRPr="00A02E4F" w:rsidRDefault="00A02E4F" w:rsidP="005812B4">
      <w:pPr>
        <w:spacing w:before="240" w:after="120" w:line="240" w:lineRule="auto"/>
        <w:jc w:val="center"/>
        <w:rPr>
          <w:rFonts w:ascii="Times New Roman" w:hAnsi="Times New Roman" w:cs="Times New Roman"/>
          <w:b/>
          <w:sz w:val="24"/>
          <w:szCs w:val="24"/>
        </w:rPr>
      </w:pPr>
      <w:r w:rsidRPr="005812B4">
        <w:rPr>
          <w:rFonts w:ascii="Times New Roman" w:hAnsi="Times New Roman" w:cs="Times New Roman"/>
          <w:b/>
          <w:noProof/>
          <w:sz w:val="24"/>
          <w:szCs w:val="24"/>
          <w:lang w:eastAsia="lv-LV"/>
        </w:rPr>
        <w:lastRenderedPageBreak/>
        <w:drawing>
          <wp:anchor distT="0" distB="0" distL="114300" distR="114300" simplePos="0" relativeHeight="251668480" behindDoc="1" locked="0" layoutInCell="1" allowOverlap="1" wp14:anchorId="4F51459B" wp14:editId="2B5087C3">
            <wp:simplePos x="0" y="0"/>
            <wp:positionH relativeFrom="column">
              <wp:posOffset>262890</wp:posOffset>
            </wp:positionH>
            <wp:positionV relativeFrom="paragraph">
              <wp:posOffset>4445</wp:posOffset>
            </wp:positionV>
            <wp:extent cx="4975860" cy="2519045"/>
            <wp:effectExtent l="0" t="0" r="0" b="0"/>
            <wp:wrapThrough wrapText="bothSides">
              <wp:wrapPolygon edited="0">
                <wp:start x="0" y="0"/>
                <wp:lineTo x="0" y="21399"/>
                <wp:lineTo x="21501" y="21399"/>
                <wp:lineTo x="21501"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7E5182">
        <w:rPr>
          <w:rFonts w:ascii="Times New Roman" w:hAnsi="Times New Roman" w:cs="Times New Roman"/>
          <w:b/>
          <w:sz w:val="24"/>
          <w:szCs w:val="24"/>
        </w:rPr>
        <w:t>2.1</w:t>
      </w:r>
      <w:r w:rsidRPr="00A02E4F">
        <w:rPr>
          <w:rFonts w:ascii="Times New Roman" w:hAnsi="Times New Roman" w:cs="Times New Roman"/>
          <w:b/>
          <w:sz w:val="24"/>
          <w:szCs w:val="24"/>
        </w:rPr>
        <w:t>.attēls. Latvijas partnervalstu</w:t>
      </w:r>
      <w:r w:rsidRPr="005812B4">
        <w:rPr>
          <w:rFonts w:ascii="Times New Roman" w:hAnsi="Times New Roman" w:cs="Times New Roman"/>
          <w:b/>
          <w:sz w:val="24"/>
          <w:vertAlign w:val="superscript"/>
        </w:rPr>
        <w:footnoteReference w:id="3"/>
      </w:r>
      <w:r w:rsidRPr="00A02E4F">
        <w:rPr>
          <w:rFonts w:ascii="Times New Roman" w:hAnsi="Times New Roman" w:cs="Times New Roman"/>
          <w:b/>
          <w:sz w:val="24"/>
          <w:szCs w:val="24"/>
        </w:rPr>
        <w:t xml:space="preserve"> un ES IKP pieauguma tempi un prognozes, %</w:t>
      </w:r>
    </w:p>
    <w:p w14:paraId="0D012FE7" w14:textId="0D944A42" w:rsidR="00A34463" w:rsidRDefault="00A02E4F" w:rsidP="00A02E4F">
      <w:pPr>
        <w:pStyle w:val="Default"/>
        <w:spacing w:after="60"/>
        <w:ind w:firstLine="720"/>
        <w:jc w:val="both"/>
        <w:rPr>
          <w:szCs w:val="23"/>
        </w:rPr>
      </w:pPr>
      <w:r w:rsidRPr="00A02E4F">
        <w:rPr>
          <w:szCs w:val="23"/>
        </w:rPr>
        <w:t>Tajā pašā laikā jāatzīmē, ka kopumā situācija ES darba tirgū pakāpeniski uzlabojas un ieviestās strukturālās reformas pamazām sniedz rezultātus, kas par spīti ārējās vides nestabilitātei un iekšējām ekonomiskajām problēmām labvēlīgi ietekmēs reģiona izaugsmi 2015. gadā.</w:t>
      </w:r>
    </w:p>
    <w:p w14:paraId="5CBE38A0" w14:textId="77777777" w:rsidR="007E26F6" w:rsidRDefault="007E26F6" w:rsidP="00A02E4F">
      <w:pPr>
        <w:pStyle w:val="Default"/>
        <w:spacing w:after="60"/>
        <w:ind w:firstLine="720"/>
        <w:jc w:val="both"/>
      </w:pPr>
    </w:p>
    <w:p w14:paraId="2666A5B7" w14:textId="77777777" w:rsidR="00A34463" w:rsidRDefault="00A34463" w:rsidP="007E26F6">
      <w:pPr>
        <w:pStyle w:val="Heading2"/>
        <w:numPr>
          <w:ilvl w:val="1"/>
          <w:numId w:val="1"/>
        </w:numPr>
        <w:spacing w:before="240" w:after="120"/>
        <w:ind w:left="709"/>
        <w:rPr>
          <w:rFonts w:ascii="Times New Roman" w:hAnsi="Times New Roman" w:cs="Times New Roman"/>
          <w:sz w:val="24"/>
        </w:rPr>
      </w:pPr>
      <w:bookmarkStart w:id="4" w:name="_Toc416279064"/>
      <w:r w:rsidRPr="00F51615">
        <w:rPr>
          <w:rFonts w:ascii="Times New Roman" w:hAnsi="Times New Roman" w:cs="Times New Roman"/>
          <w:sz w:val="24"/>
        </w:rPr>
        <w:t>Pašreizējā ekonomiskā situācija</w:t>
      </w:r>
      <w:bookmarkEnd w:id="4"/>
    </w:p>
    <w:p w14:paraId="77E5674E" w14:textId="75442603" w:rsidR="00A02E4F" w:rsidRPr="00A02E4F" w:rsidRDefault="00A02E4F" w:rsidP="00A02E4F">
      <w:pPr>
        <w:pStyle w:val="Default"/>
        <w:spacing w:after="60"/>
        <w:ind w:firstLine="720"/>
        <w:jc w:val="both"/>
        <w:rPr>
          <w:szCs w:val="23"/>
        </w:rPr>
      </w:pPr>
      <w:r w:rsidRPr="00A02E4F">
        <w:rPr>
          <w:szCs w:val="23"/>
        </w:rPr>
        <w:t>Pēc vairākiem spēcīgas ekonomiskās izaugsmes gad</w:t>
      </w:r>
      <w:r w:rsidR="007E5182">
        <w:rPr>
          <w:szCs w:val="23"/>
        </w:rPr>
        <w:t>iem, kad laika periodā no 2011.gada līdz 2013.</w:t>
      </w:r>
      <w:r w:rsidRPr="00A02E4F">
        <w:rPr>
          <w:szCs w:val="23"/>
        </w:rPr>
        <w:t>gadam Latvijas ekonomi</w:t>
      </w:r>
      <w:r w:rsidR="007E5182">
        <w:rPr>
          <w:szCs w:val="23"/>
        </w:rPr>
        <w:t>ka pieauga par 4-5% gadā, 2014.</w:t>
      </w:r>
      <w:r w:rsidRPr="00A02E4F">
        <w:rPr>
          <w:szCs w:val="23"/>
        </w:rPr>
        <w:t>gadā Latvijas IKP pieauguma tempi palēninājās, uzrādot 2,4% izaugsmi. Ekonomikas izaugsme sabremzējās dažādu iekšējo un ārējo faktoru ietekmē, starp kuriem svarīgākie ir ģeopolitiskās situācijas eskalācija, tirdzniecības sankciju ieviešana un Krievijas ekonomikas recesija. Neskatoties uz izaugsmes tempu palēnināšanos, Latvijas IKP pieaugums pērn ir bijis viens no augstākajiem ES dalībvalstu vidū un par 1,1 procentpunktu pārsniedz ES vidējo izaugsmes līmeni.</w:t>
      </w:r>
    </w:p>
    <w:p w14:paraId="36B92282" w14:textId="06537C16" w:rsidR="00A02E4F" w:rsidRPr="00A02E4F" w:rsidRDefault="00A02E4F" w:rsidP="00A02E4F">
      <w:pPr>
        <w:pStyle w:val="Default"/>
        <w:spacing w:after="60"/>
        <w:ind w:firstLine="720"/>
        <w:jc w:val="both"/>
        <w:rPr>
          <w:szCs w:val="23"/>
        </w:rPr>
      </w:pPr>
      <w:r w:rsidRPr="00A02E4F">
        <w:rPr>
          <w:szCs w:val="23"/>
        </w:rPr>
        <w:t xml:space="preserve">Ja pēckrīzes laikā Latvijas ekonomiku virzīja eksports un investīciju pieaugums, tad kopš 2013. gada par galveno izaugsmes dzinējspēku ir kļuvis privātais patēriņš. Līdz ar to arī nozares, kas apkalpo vietējo tirgu, aug straujāk un dod lielāku ieguldījumu kopējā IKP izaugsmē. Jāatzīmē, ka līdz ar kopējās ekonomiskās attīstības palēnināšanos arī privātā patēriņa izaugsmes temps </w:t>
      </w:r>
      <w:r w:rsidR="003D38BE">
        <w:rPr>
          <w:szCs w:val="23"/>
        </w:rPr>
        <w:t>2014.gadā</w:t>
      </w:r>
      <w:r w:rsidRPr="00A02E4F">
        <w:rPr>
          <w:szCs w:val="23"/>
        </w:rPr>
        <w:t xml:space="preserve"> bija ievērojami zem</w:t>
      </w:r>
      <w:r w:rsidR="007E5182">
        <w:rPr>
          <w:szCs w:val="23"/>
        </w:rPr>
        <w:t>āks nekā 2013.</w:t>
      </w:r>
      <w:r w:rsidRPr="00A02E4F">
        <w:rPr>
          <w:szCs w:val="23"/>
        </w:rPr>
        <w:t>gadā.</w:t>
      </w:r>
    </w:p>
    <w:p w14:paraId="776DA2C6" w14:textId="189D20FF" w:rsidR="00A02E4F" w:rsidRPr="00A02E4F" w:rsidRDefault="00A02E4F" w:rsidP="00A02E4F">
      <w:pPr>
        <w:pStyle w:val="Default"/>
        <w:spacing w:after="60"/>
        <w:ind w:firstLine="720"/>
        <w:jc w:val="both"/>
        <w:rPr>
          <w:szCs w:val="23"/>
        </w:rPr>
      </w:pPr>
      <w:r w:rsidRPr="00A02E4F">
        <w:rPr>
          <w:szCs w:val="23"/>
        </w:rPr>
        <w:t>Neskatoties uz lē</w:t>
      </w:r>
      <w:r w:rsidR="0007049D">
        <w:rPr>
          <w:szCs w:val="23"/>
        </w:rPr>
        <w:t>nāku ekonomikas izaugsmi, 2014.</w:t>
      </w:r>
      <w:r w:rsidRPr="00A02E4F">
        <w:rPr>
          <w:szCs w:val="23"/>
        </w:rPr>
        <w:t xml:space="preserve">gadā pieaugumu uzrādīja gandrīz visas tautsaimniecības nozares, izņemot nekustamā īpašuma darījumu nozari un rūpniecību. Ņemot vērā ārējās vides pasliktināšanos, vājāka izaugsme vērojama uz eksportu vērstajās nozarēs. Rūpniecībā fiksēts samazinājums 0,9% apmērā, ko noteica kritums elektroenerģijas un gāzes apgādes nozarē, kā arī apstrādes rūpniecībā. Apstrādes rūpniecības izlaidi gada sākumā joprojām negatīvi ietekmēja metālu ražošana saistībā ar AS “Liepājas metalurgs” dīkstāvi, taču gada otrajā pusē ģeopolitiskā konflikta tiešo un netiešo seku dēļ ar sarežģījumiem saskārās arī citas apstrādes rūpniecības apakšnozares. Lauksaimniecībā, neskatoties uz pērn sasniegto graudu kopražas rekordapjomu, ir reģistrēts kāpums vien par 1,8%. Taču transports, par spīti negatīvajai ārējai videi, pērn uzrādījis izaugsmi 3,2% apmērā, </w:t>
      </w:r>
      <w:r w:rsidRPr="00A02E4F">
        <w:rPr>
          <w:szCs w:val="23"/>
        </w:rPr>
        <w:lastRenderedPageBreak/>
        <w:t>kas ir divreiz</w:t>
      </w:r>
      <w:r w:rsidR="0007049D">
        <w:rPr>
          <w:szCs w:val="23"/>
        </w:rPr>
        <w:t xml:space="preserve"> spēcīgāks pieaugums nekā 2013.</w:t>
      </w:r>
      <w:r w:rsidRPr="00A02E4F">
        <w:rPr>
          <w:szCs w:val="23"/>
        </w:rPr>
        <w:t>gadā. Būtiskākā loma šajā izaugsmē bija kravu apgrozījuma pieaugumam Rīgas ostā par 15,8%, kamēr dzelzceļā pārvadāto kravu apjoms palielinājās par 2,2%.</w:t>
      </w:r>
    </w:p>
    <w:p w14:paraId="440A860F" w14:textId="306453BF" w:rsidR="00A02E4F" w:rsidRPr="00A02E4F" w:rsidRDefault="00A02E4F" w:rsidP="00A02E4F">
      <w:pPr>
        <w:pStyle w:val="Default"/>
        <w:spacing w:after="60"/>
        <w:ind w:firstLine="720"/>
        <w:jc w:val="both"/>
        <w:rPr>
          <w:szCs w:val="23"/>
        </w:rPr>
      </w:pPr>
      <w:r w:rsidRPr="00A02E4F">
        <w:rPr>
          <w:szCs w:val="23"/>
        </w:rPr>
        <w:t>Savukārt priekšnoteikumi izaugsmei nozarēm, kas apkalpo vietējo tirgu, ir bijuši daudz labvēlīgāki, jo būvniecība, tirdzniecība, finanšu un apdrošināšanas darbības ir uzrādījušas spēcīgu un stabilu kāpumu. Jāat</w:t>
      </w:r>
      <w:r w:rsidR="0007049D">
        <w:rPr>
          <w:szCs w:val="23"/>
        </w:rPr>
        <w:t>zīmē, ka tieši būvniecība 2014.</w:t>
      </w:r>
      <w:r w:rsidRPr="00A02E4F">
        <w:rPr>
          <w:szCs w:val="23"/>
        </w:rPr>
        <w:t>gadā bija straujāk augošā tautsaimniecības nozare (+8,1%), kas, neskatoties uz tās ne tik lielo īpatsvaru, devusi lielāko pienesumu Latvijas IKP izaugsmē pēc pievienotās vērtības. Tajā pašā laikā tirdzniecība augusi par 2,2% un finanšu un apdrošināšanas darbības – par 4,7%.</w:t>
      </w:r>
    </w:p>
    <w:p w14:paraId="62C5B84D" w14:textId="5E81B04E" w:rsidR="00A02E4F" w:rsidRPr="00A02E4F" w:rsidRDefault="00A02E4F" w:rsidP="00A02E4F">
      <w:pPr>
        <w:pStyle w:val="Default"/>
        <w:spacing w:after="60"/>
        <w:ind w:firstLine="720"/>
        <w:jc w:val="both"/>
        <w:rPr>
          <w:szCs w:val="23"/>
        </w:rPr>
      </w:pPr>
      <w:r w:rsidRPr="00A02E4F">
        <w:rPr>
          <w:szCs w:val="23"/>
        </w:rPr>
        <w:t xml:space="preserve">IKP analīze pēc izlietojuma liecina, ka kopumā 2014.gadā pieaugumu uzrādīja visas izlietojuma puses komponentes, taču izaugsmi galvenokārt nodrošināja iekšējais patēriņš. Pozitīvās tendences darba tirgū, samazinoties bezdarba līmenim un pieaugot darba algām, nodrošināja mājsaimniecību privātā patēriņa pieaugumu par 2,3%, salīdzinot ar 2013.gadu. Labus izaugsmes tempus saglabāja arī sabiedriskais patēriņš, kurš pērn uzrādīja 3,6% kāpumu. </w:t>
      </w:r>
    </w:p>
    <w:p w14:paraId="563C4D6B" w14:textId="2C1EA2DE" w:rsidR="00A02E4F" w:rsidRPr="00A02E4F" w:rsidRDefault="00A02E4F" w:rsidP="00A02E4F">
      <w:pPr>
        <w:pStyle w:val="Default"/>
        <w:spacing w:after="60"/>
        <w:ind w:firstLine="720"/>
        <w:jc w:val="both"/>
        <w:rPr>
          <w:szCs w:val="23"/>
        </w:rPr>
      </w:pPr>
      <w:r w:rsidRPr="00A02E4F">
        <w:rPr>
          <w:szCs w:val="23"/>
        </w:rPr>
        <w:t>Ievērojot ārējās vides negatīvo ietekmi, nelielais pieaugums preču un pakalpojumu eksporta apjomos 1,9% apmērā ir vērtējams kā labs sniegums. Jāatzīmē, ka g</w:t>
      </w:r>
      <w:r w:rsidR="009B6D03">
        <w:rPr>
          <w:szCs w:val="23"/>
        </w:rPr>
        <w:t>alvenā eksporta virzītāja 2014.</w:t>
      </w:r>
      <w:r w:rsidRPr="00A02E4F">
        <w:rPr>
          <w:szCs w:val="23"/>
        </w:rPr>
        <w:t>gadā bija kokapstrādes nozare, kas savus eksporta apjomus kāpinājusi par 8,1%. Taču lauksaimniecības un pārtikas preces, kas ir pēc īpatsvara lielākā preču eksporta kategorija, gada laikā tika ek</w:t>
      </w:r>
      <w:r w:rsidR="009B6D03">
        <w:rPr>
          <w:szCs w:val="23"/>
        </w:rPr>
        <w:t>sportētas par 2,7% mazāk. 2014.</w:t>
      </w:r>
      <w:r w:rsidRPr="00A02E4F">
        <w:rPr>
          <w:szCs w:val="23"/>
        </w:rPr>
        <w:t>gadā preču eksports uz trešo lielāko Latvijas tirdzniecības partnervalsti Krieviju samazinājās par 5,1%, taču to ir kompensējis eksporta apjomu pieaugums uz tādām valstīm kā Lietuva, Lielbritānija, Spānija, Zviedrija, Čehija un Ungārija. Tajā pašā laikā preču un pakalpojumu imports auga nedaudz lēnāk par eksportu, kā rezultātā pērn uzlabojās Latvijas preču un pakalpojumu ārējās tirdzniecības bilance Latvijā un tirdzniecības deficīts bija 3% no IKP.</w:t>
      </w:r>
    </w:p>
    <w:p w14:paraId="6272EDD7" w14:textId="2A12A0A4" w:rsidR="00A02E4F" w:rsidRPr="00A02E4F" w:rsidRDefault="009B6D03" w:rsidP="00A02E4F">
      <w:pPr>
        <w:pStyle w:val="Default"/>
        <w:spacing w:after="60"/>
        <w:ind w:firstLine="720"/>
        <w:jc w:val="both"/>
        <w:rPr>
          <w:szCs w:val="23"/>
        </w:rPr>
      </w:pPr>
      <w:r>
        <w:rPr>
          <w:szCs w:val="23"/>
        </w:rPr>
        <w:t>2014.</w:t>
      </w:r>
      <w:r w:rsidR="00A02E4F" w:rsidRPr="00A02E4F">
        <w:rPr>
          <w:szCs w:val="23"/>
        </w:rPr>
        <w:t>gadā saglabājās vāja investīciju aktivitāte. Nestabilās ārējās vides ietekmē investīcijas Latvijā pērn palielinājās vien par 1,6%. Tomēr investīciju dinamika nav viendabīga. Investīcijas apstrāde</w:t>
      </w:r>
      <w:r w:rsidR="002D4AED">
        <w:rPr>
          <w:szCs w:val="23"/>
        </w:rPr>
        <w:t>s rūpniecībā pieauga par 21,2%,</w:t>
      </w:r>
      <w:r w:rsidR="00A02E4F" w:rsidRPr="00A02E4F">
        <w:rPr>
          <w:szCs w:val="23"/>
        </w:rPr>
        <w:t xml:space="preserve"> ko noteica straujais investīciju pieaugums kokrūpniecībā. Investīcijas transporta un uzglabāšanas nozarē palielinājās par 12,2%, savukārt investīcijas vairumtirdzniecības un mazumtirdzniecības nozarē pieauga par 29,7%. Tajā pašā laikā investīciju kritums fiksēts elektroenerģijas, gāzes un siltumapgādes nozar</w:t>
      </w:r>
      <w:r w:rsidR="002D4AED">
        <w:rPr>
          <w:szCs w:val="23"/>
        </w:rPr>
        <w:t>ē par 19,4%, ko ietekmēja 2013.</w:t>
      </w:r>
      <w:r w:rsidR="00A02E4F" w:rsidRPr="00A02E4F">
        <w:rPr>
          <w:szCs w:val="23"/>
        </w:rPr>
        <w:t>gadā īstenoto lielo investīciju projektu pabeigšana. Jau otro gadu pēc kārtas kritušās arī investīcijas lauksaimniecības nozarē, samazinoties p</w:t>
      </w:r>
      <w:r w:rsidR="002D4AED">
        <w:rPr>
          <w:szCs w:val="23"/>
        </w:rPr>
        <w:t>ar 18,4% salīdzinājumā ar 2013.</w:t>
      </w:r>
      <w:r w:rsidR="00A02E4F" w:rsidRPr="00A02E4F">
        <w:rPr>
          <w:szCs w:val="23"/>
        </w:rPr>
        <w:t>gadu, kas vismaz daļēji saistāms arī ar Krievijas noteiktajām sankcijām ES lauksaimniecības nozarei.</w:t>
      </w:r>
    </w:p>
    <w:p w14:paraId="6E1B477D" w14:textId="591D71DB" w:rsidR="00A02E4F" w:rsidRPr="00A02E4F" w:rsidRDefault="00A02E4F" w:rsidP="00A02E4F">
      <w:pPr>
        <w:pStyle w:val="Default"/>
        <w:spacing w:after="60"/>
        <w:ind w:firstLine="720"/>
        <w:jc w:val="both"/>
        <w:rPr>
          <w:szCs w:val="23"/>
        </w:rPr>
      </w:pPr>
      <w:r w:rsidRPr="00A02E4F">
        <w:rPr>
          <w:szCs w:val="23"/>
        </w:rPr>
        <w:t xml:space="preserve">Krievijas noteiktās sankcijas un ģeopolitiskās spriedzes pieaugums reģionā  ir galvenie negatīvie faktori, kas ietekmēja </w:t>
      </w:r>
      <w:r w:rsidR="004E0D45">
        <w:rPr>
          <w:szCs w:val="23"/>
        </w:rPr>
        <w:t>ĀTI</w:t>
      </w:r>
      <w:r w:rsidRPr="00A02E4F">
        <w:rPr>
          <w:szCs w:val="23"/>
        </w:rPr>
        <w:t xml:space="preserve"> Latvijā. 2014.gadā Latvijā ienāca ĀTI 355,2 milj. </w:t>
      </w:r>
      <w:r w:rsidR="002D4AED">
        <w:rPr>
          <w:i/>
          <w:szCs w:val="23"/>
        </w:rPr>
        <w:t>euro</w:t>
      </w:r>
      <w:r w:rsidRPr="00A02E4F">
        <w:rPr>
          <w:szCs w:val="23"/>
        </w:rPr>
        <w:t xml:space="preserve"> apjomā, kas ir uz pusi mazāk nekā 2013.</w:t>
      </w:r>
      <w:r w:rsidR="002D4AED">
        <w:rPr>
          <w:szCs w:val="23"/>
        </w:rPr>
        <w:t>gadā. Tomēr 2014.</w:t>
      </w:r>
      <w:r w:rsidRPr="00A02E4F">
        <w:rPr>
          <w:szCs w:val="23"/>
        </w:rPr>
        <w:t xml:space="preserve">gada vidū lielākas starptautiskās reitingu aģentūras, </w:t>
      </w:r>
      <w:r w:rsidRPr="002D4AED">
        <w:rPr>
          <w:i/>
          <w:szCs w:val="23"/>
        </w:rPr>
        <w:t>Standart&amp;Poor’s, Moody’s Investors Service</w:t>
      </w:r>
      <w:r w:rsidRPr="00A02E4F">
        <w:rPr>
          <w:szCs w:val="23"/>
        </w:rPr>
        <w:t xml:space="preserve"> un </w:t>
      </w:r>
      <w:r w:rsidRPr="002D4AED">
        <w:rPr>
          <w:i/>
          <w:szCs w:val="23"/>
        </w:rPr>
        <w:t>Fitch Ratings</w:t>
      </w:r>
      <w:r w:rsidRPr="00A02E4F">
        <w:rPr>
          <w:szCs w:val="23"/>
        </w:rPr>
        <w:t>, kārtējo reizi paaugstināja Latvijas valsts kredītreitingu, kas pirmo reizi kopš krīzes atkal sasniedzis virs vidējā riska A līmeni. Vidējā termiņā tas ir pozitīvs signāls ārvalstu investoriem.</w:t>
      </w:r>
    </w:p>
    <w:p w14:paraId="27928651" w14:textId="56FEF137" w:rsidR="00A02E4F" w:rsidRPr="00A02E4F" w:rsidRDefault="002D4AED" w:rsidP="00A02E4F">
      <w:pPr>
        <w:pStyle w:val="Default"/>
        <w:spacing w:after="60"/>
        <w:ind w:firstLine="720"/>
        <w:jc w:val="both"/>
        <w:rPr>
          <w:szCs w:val="23"/>
        </w:rPr>
      </w:pPr>
      <w:r>
        <w:rPr>
          <w:szCs w:val="23"/>
        </w:rPr>
        <w:t>Investīcijas 2014.</w:t>
      </w:r>
      <w:r w:rsidR="00A02E4F" w:rsidRPr="00A02E4F">
        <w:rPr>
          <w:szCs w:val="23"/>
        </w:rPr>
        <w:t>gadā ietekmēja arī piesardzīgā komercbanku kredītu izsniegšanas politika, tomēr salīdzinājumā ar iepriekšējiem gadiem kredītportfeļa apjoma samazināšanās temps ir nedaudz palēninājies. Kopējais Latvijas komercbanku izsniegto kredīt</w:t>
      </w:r>
      <w:r>
        <w:rPr>
          <w:szCs w:val="23"/>
        </w:rPr>
        <w:t>u apjoms 2014.</w:t>
      </w:r>
      <w:r w:rsidR="00A02E4F" w:rsidRPr="00A02E4F">
        <w:rPr>
          <w:szCs w:val="23"/>
        </w:rPr>
        <w:t>gadā samazinājās par 6,1%. Lejupvērsta dinamika vērojama gan rezidentu uzņēmumu, gan rezidentu mājsaimniecību portfeļos, taču nerezidentu kredītu po</w:t>
      </w:r>
      <w:r>
        <w:rPr>
          <w:szCs w:val="23"/>
        </w:rPr>
        <w:t>rtfelis pieauga par 4,1%. 2014.</w:t>
      </w:r>
      <w:r w:rsidR="00A02E4F" w:rsidRPr="00A02E4F">
        <w:rPr>
          <w:szCs w:val="23"/>
        </w:rPr>
        <w:t xml:space="preserve">gadā Latvijas komercbanku kredītportfeļa apjoms saruka par 37,9% jeb 8,9 mljrd. </w:t>
      </w:r>
      <w:r>
        <w:rPr>
          <w:i/>
          <w:szCs w:val="23"/>
        </w:rPr>
        <w:t>euro</w:t>
      </w:r>
      <w:r w:rsidRPr="00A02E4F">
        <w:rPr>
          <w:szCs w:val="23"/>
        </w:rPr>
        <w:t xml:space="preserve"> </w:t>
      </w:r>
      <w:r>
        <w:rPr>
          <w:szCs w:val="23"/>
        </w:rPr>
        <w:t>salīdzinājumā ar 2008.</w:t>
      </w:r>
      <w:r w:rsidR="00A02E4F" w:rsidRPr="00A02E4F">
        <w:rPr>
          <w:szCs w:val="23"/>
        </w:rPr>
        <w:t xml:space="preserve">gadu, kad banku kredītportfelis bija sasniedzis savu vēsturisko maksimumu. Tā kā šo gadu laikā rezidentiem izsniegto kredītu apjoms samazinājies straujāk, </w:t>
      </w:r>
      <w:r w:rsidR="00A02E4F" w:rsidRPr="00A02E4F">
        <w:rPr>
          <w:szCs w:val="23"/>
        </w:rPr>
        <w:lastRenderedPageBreak/>
        <w:t xml:space="preserve">nerezidentu īpatsvars kopēja kredītportfeļa nedaudz pieaudzis, sasniedzot 14%. Kredītportfeļa sarukumu noteica arī mazāks rezidentiem jauno izsniegto kredītu apjoms – 1,3 mljrd. </w:t>
      </w:r>
      <w:r>
        <w:rPr>
          <w:i/>
          <w:szCs w:val="23"/>
        </w:rPr>
        <w:t>euro</w:t>
      </w:r>
      <w:r w:rsidRPr="00A02E4F">
        <w:rPr>
          <w:szCs w:val="23"/>
        </w:rPr>
        <w:t xml:space="preserve"> </w:t>
      </w:r>
      <w:r>
        <w:rPr>
          <w:szCs w:val="23"/>
        </w:rPr>
        <w:t>2014.</w:t>
      </w:r>
      <w:r w:rsidR="00A02E4F" w:rsidRPr="00A02E4F">
        <w:rPr>
          <w:szCs w:val="23"/>
        </w:rPr>
        <w:t xml:space="preserve">gadā, salīdzinot ar 2,1 mljrd. </w:t>
      </w:r>
      <w:r>
        <w:rPr>
          <w:i/>
          <w:szCs w:val="23"/>
        </w:rPr>
        <w:t>euro</w:t>
      </w:r>
      <w:r w:rsidRPr="00A02E4F">
        <w:rPr>
          <w:szCs w:val="23"/>
        </w:rPr>
        <w:t xml:space="preserve"> </w:t>
      </w:r>
      <w:r>
        <w:rPr>
          <w:szCs w:val="23"/>
        </w:rPr>
        <w:t>2013.</w:t>
      </w:r>
      <w:r w:rsidR="00A02E4F" w:rsidRPr="00A02E4F">
        <w:rPr>
          <w:szCs w:val="23"/>
        </w:rPr>
        <w:t>gadā. Ja mājsaimniecībām jauno izsniegto kredītu apjoms pat nedaudz pieauga, tad uzņēmumiem, kam ir lielāks īpatsvars jauno izsniegto kredītu portfelī, tas ir strauji samazinājies.</w:t>
      </w:r>
    </w:p>
    <w:p w14:paraId="3B37874D" w14:textId="3BCE5BE6" w:rsidR="00A02E4F" w:rsidRPr="00A02E4F" w:rsidRDefault="00A02E4F" w:rsidP="00A02E4F">
      <w:pPr>
        <w:pStyle w:val="Default"/>
        <w:spacing w:after="60"/>
        <w:ind w:firstLine="720"/>
        <w:jc w:val="both"/>
        <w:rPr>
          <w:szCs w:val="23"/>
        </w:rPr>
      </w:pPr>
      <w:r w:rsidRPr="00A02E4F">
        <w:rPr>
          <w:szCs w:val="23"/>
        </w:rPr>
        <w:t xml:space="preserve">Neskatoties uz ekonomiskās izaugsmes tempu palēnināšanos, situācija darba tirgū joprojām uzrāda uzlabojumus. </w:t>
      </w:r>
      <w:r w:rsidR="002D4AED">
        <w:rPr>
          <w:szCs w:val="23"/>
        </w:rPr>
        <w:t>Darba meklētāju īpatsvars 2014.</w:t>
      </w:r>
      <w:r w:rsidRPr="00A02E4F">
        <w:rPr>
          <w:szCs w:val="23"/>
        </w:rPr>
        <w:t>gadā noslīdēja līdz 10,8% no ekonomiski aktīvajiem iedzīvotājiem, kas ir zemākais līmenis kopš 2008.gada. Salīdzinājumā ar iepriekšējo gadu, bezdarbs samazinājies par 1,1 procentpunktu, tomēr tas ir lēnāk nekā iepriekšējos trīs gadus. Pērn turpināja samazināties arī reģistrētā bezdarba līmenis, 2014.gada decembra beigās veidojot 8,3% no ekonomiski aktīvajiem iedzīvotājiem, kas ir par 1 procentpunktu mazāk nekā 2013.gada nogalē.</w:t>
      </w:r>
    </w:p>
    <w:p w14:paraId="5C4E5F73" w14:textId="3D2CFB67" w:rsidR="00A02E4F" w:rsidRPr="00A02E4F" w:rsidRDefault="00A02E4F" w:rsidP="00A02E4F">
      <w:pPr>
        <w:pStyle w:val="Default"/>
        <w:spacing w:after="60"/>
        <w:ind w:firstLine="720"/>
        <w:jc w:val="both"/>
        <w:rPr>
          <w:szCs w:val="23"/>
        </w:rPr>
      </w:pPr>
      <w:r w:rsidRPr="00A02E4F">
        <w:rPr>
          <w:szCs w:val="23"/>
        </w:rPr>
        <w:t>Taču atbilstoši darbaspēka apsekojuma datiem tautsaimniecībā nodarbināto iedzīvotāju skait</w:t>
      </w:r>
      <w:r w:rsidR="002D4AED">
        <w:rPr>
          <w:szCs w:val="23"/>
        </w:rPr>
        <w:t>s 2014.</w:t>
      </w:r>
      <w:r w:rsidRPr="00A02E4F">
        <w:rPr>
          <w:szCs w:val="23"/>
        </w:rPr>
        <w:t>gadā samazinājās par 1%, noslīdot līdz 884,6 tūkstošiem. Šādu kritumu noteica gan metodoloģijas maiņa, gan negatīvās demogrāfiskās tendences, jo nodarbināto skaita īpatsvars ir palielinājies par 0,9 procentpunktiem, sasniedzot 59,1% no visu iedzīvotāju kop</w:t>
      </w:r>
      <w:r w:rsidR="00F87F41">
        <w:rPr>
          <w:szCs w:val="23"/>
        </w:rPr>
        <w:t>skaita 15-74 gadu vecuma grupā.</w:t>
      </w:r>
      <w:r w:rsidRPr="00A02E4F">
        <w:rPr>
          <w:szCs w:val="23"/>
        </w:rPr>
        <w:t xml:space="preserve"> Tajā pašā laikā statistika par aizņemtajām darba vietām parāda, ka strādājošo skaits tomēr </w:t>
      </w:r>
      <w:r w:rsidR="003D38BE">
        <w:rPr>
          <w:szCs w:val="23"/>
        </w:rPr>
        <w:t xml:space="preserve">lēnām </w:t>
      </w:r>
      <w:r w:rsidRPr="00A02E4F">
        <w:rPr>
          <w:szCs w:val="23"/>
        </w:rPr>
        <w:t>tur</w:t>
      </w:r>
      <w:r w:rsidR="00F87F41">
        <w:rPr>
          <w:szCs w:val="23"/>
        </w:rPr>
        <w:t>pinājis palielināties, un 2014.</w:t>
      </w:r>
      <w:r w:rsidRPr="00A02E4F">
        <w:rPr>
          <w:szCs w:val="23"/>
        </w:rPr>
        <w:t>gada beigās aizņemto darba vietu skaits bijis par 0,7% lielāks nekā pirms gada. Lielāk</w:t>
      </w:r>
      <w:r w:rsidR="00F87F41">
        <w:rPr>
          <w:szCs w:val="23"/>
        </w:rPr>
        <w:t>ais darba vietu pieaugums 2014.</w:t>
      </w:r>
      <w:r w:rsidRPr="00A02E4F">
        <w:rPr>
          <w:szCs w:val="23"/>
        </w:rPr>
        <w:t xml:space="preserve">gadā bijis sabiedriskajā sektorā, kur aizņemto darba vietu skaits gada laikā palielinājies par 1,3%, kamēr privātajā sektorā aizņemto darba vietu skaits audzis par 0,4%. </w:t>
      </w:r>
    </w:p>
    <w:p w14:paraId="45B0ADBF" w14:textId="28EBB39E" w:rsidR="00A02E4F" w:rsidRPr="00A02E4F" w:rsidRDefault="00F87F41" w:rsidP="00A02E4F">
      <w:pPr>
        <w:pStyle w:val="Default"/>
        <w:spacing w:after="60"/>
        <w:ind w:firstLine="720"/>
        <w:jc w:val="both"/>
        <w:rPr>
          <w:szCs w:val="23"/>
        </w:rPr>
      </w:pPr>
      <w:r>
        <w:rPr>
          <w:szCs w:val="23"/>
        </w:rPr>
        <w:t>Visa 2014.</w:t>
      </w:r>
      <w:r w:rsidR="00A02E4F" w:rsidRPr="00A02E4F">
        <w:rPr>
          <w:szCs w:val="23"/>
        </w:rPr>
        <w:t xml:space="preserve">gada laikā turpinājās straujš vidējās mēneša bruto darba samaksas pieaugums, un gadā kopumā vidējā bruto alga palielinājās par 6,8% līdz 765 </w:t>
      </w:r>
      <w:r>
        <w:rPr>
          <w:i/>
          <w:szCs w:val="23"/>
        </w:rPr>
        <w:t>euro</w:t>
      </w:r>
      <w:r w:rsidR="00A02E4F" w:rsidRPr="00A02E4F">
        <w:rPr>
          <w:szCs w:val="23"/>
        </w:rPr>
        <w:t>, uzrādot būtiski straujāku kāpumu nekā iepriekšējos gados. Lielākais darba samaksas pieaugums atšķirībā no iepriekšējiem gadiem bija privātajā sektorā - par 7,4%, kamēr sabiedriskajā sektorā algas palielinā</w:t>
      </w:r>
      <w:r>
        <w:rPr>
          <w:szCs w:val="23"/>
        </w:rPr>
        <w:t>jās par 6,1%. Visbūtiskāk 2014.</w:t>
      </w:r>
      <w:r w:rsidR="00A02E4F" w:rsidRPr="00A02E4F">
        <w:rPr>
          <w:szCs w:val="23"/>
        </w:rPr>
        <w:t xml:space="preserve">gada laikā darba samaksa augusi nekustamo īpašumu nozarē un finanšu un apdrošināšanas nozarē – attiecīgi par 11,0% un 9,8%, kamēr zemākie pieaugumi bijuši mākslas, izklaides un atpūtas, kā arī profesionālo pakalpojumu nozarēs. Pateicoties zemajai inflācijai un iedzīvotāju ienākuma nodokļa samazināšanai, reālās darba samaksas kāpums 2014.gadā bijis vēl straujāks nekā bruto algas kāpums un sasniedzis 8,0%. </w:t>
      </w:r>
    </w:p>
    <w:p w14:paraId="2606529A" w14:textId="200BFA31" w:rsidR="00A02E4F" w:rsidRPr="00A02E4F" w:rsidRDefault="00F87F41" w:rsidP="00A02E4F">
      <w:pPr>
        <w:pStyle w:val="Default"/>
        <w:spacing w:after="60"/>
        <w:ind w:firstLine="720"/>
        <w:jc w:val="both"/>
        <w:rPr>
          <w:szCs w:val="23"/>
        </w:rPr>
      </w:pPr>
      <w:r>
        <w:rPr>
          <w:szCs w:val="23"/>
        </w:rPr>
        <w:t>2014.</w:t>
      </w:r>
      <w:r w:rsidR="00A02E4F" w:rsidRPr="00A02E4F">
        <w:rPr>
          <w:szCs w:val="23"/>
        </w:rPr>
        <w:t>gadā būtiska loma izaugsmes veicināšanā bija arī Kohēzijas politikas pasākumu īstenošanai. ES fondu ietekmes izvērtējums rāda, ka Kohēzijas politikas pozitīvā iete</w:t>
      </w:r>
      <w:r>
        <w:rPr>
          <w:szCs w:val="23"/>
        </w:rPr>
        <w:t>kme uz reālo IKP dinamiku 2014.</w:t>
      </w:r>
      <w:r w:rsidR="00A02E4F" w:rsidRPr="00A02E4F">
        <w:rPr>
          <w:szCs w:val="23"/>
        </w:rPr>
        <w:t>gadā sasniedza 0,9 procentpunktus. Nozaru griezumā vislielākā ES fondu stimulējošā ietekme 2014.</w:t>
      </w:r>
      <w:r>
        <w:rPr>
          <w:szCs w:val="23"/>
        </w:rPr>
        <w:t xml:space="preserve">gadā </w:t>
      </w:r>
      <w:r w:rsidR="00A02E4F" w:rsidRPr="00A02E4F">
        <w:rPr>
          <w:szCs w:val="23"/>
        </w:rPr>
        <w:t>bija būvniecībā, palielinot nozares pievienotās vērtības pieauguma tempu par 4,9 procentpunktiem. Jāatzīmē, ka pērn ES fondu projektu realizācija ir sekmējusi arī vidējās reālās darba samaksas palielināšanos par 0,9 procentpunktiem, tādējādi veicinot privātā patēriņa pieauguma tempa kāpumu par vienu procentpunktu gadā. ES fondu investīcijas ir arī pozitīvi ietekmējušas nodarbinātības dinamiku. Lai arī kopumā tautsaimniecībā nodarbināto skaits pērn ir samazinājies, bez ES fondiem šis kritums b</w:t>
      </w:r>
      <w:r>
        <w:rPr>
          <w:szCs w:val="23"/>
        </w:rPr>
        <w:t>ūtu bijis vēl lielāks, jo 2014.</w:t>
      </w:r>
      <w:r w:rsidR="00A02E4F" w:rsidRPr="00A02E4F">
        <w:rPr>
          <w:szCs w:val="23"/>
        </w:rPr>
        <w:t>gadā ES finansēto projektu ieviešanas rezultātā nodarbināto skaita pieauguma temps ir palielinājies vidēji par 0,3 procentpunktiem.</w:t>
      </w:r>
    </w:p>
    <w:p w14:paraId="5B9BAC18" w14:textId="6F114C98" w:rsidR="00A02E4F" w:rsidRPr="00A02E4F" w:rsidRDefault="00F87F41" w:rsidP="00A02E4F">
      <w:pPr>
        <w:pStyle w:val="Default"/>
        <w:spacing w:after="60"/>
        <w:ind w:firstLine="720"/>
        <w:jc w:val="both"/>
        <w:rPr>
          <w:szCs w:val="23"/>
        </w:rPr>
      </w:pPr>
      <w:r>
        <w:rPr>
          <w:szCs w:val="23"/>
        </w:rPr>
        <w:t>Patēriņa cenu pieaugums 2014.</w:t>
      </w:r>
      <w:r w:rsidR="00A02E4F" w:rsidRPr="00A02E4F">
        <w:rPr>
          <w:szCs w:val="23"/>
        </w:rPr>
        <w:t xml:space="preserve">gadā saglabājās zems, ko noteica galvenokārt ārējie faktori. Tajā pašā laikā inflācija Latvijā bija augstāka par </w:t>
      </w:r>
      <w:r>
        <w:rPr>
          <w:i/>
          <w:szCs w:val="23"/>
        </w:rPr>
        <w:t>euro</w:t>
      </w:r>
      <w:r w:rsidRPr="00A02E4F">
        <w:rPr>
          <w:szCs w:val="23"/>
        </w:rPr>
        <w:t xml:space="preserve"> </w:t>
      </w:r>
      <w:r w:rsidR="00A02E4F" w:rsidRPr="00A02E4F">
        <w:rPr>
          <w:szCs w:val="23"/>
        </w:rPr>
        <w:t>zonas vidējo inflācijas līmeni. 2014.gadā kopumā patēriņa cenas augušas tikai par 0,6%, turklāt decembrī inflācija noslīdē</w:t>
      </w:r>
      <w:r>
        <w:rPr>
          <w:szCs w:val="23"/>
        </w:rPr>
        <w:t>ja līdz 0,2%. Preču cenas 2014.</w:t>
      </w:r>
      <w:r w:rsidR="00A02E4F" w:rsidRPr="00A02E4F">
        <w:rPr>
          <w:szCs w:val="23"/>
        </w:rPr>
        <w:t xml:space="preserve">gadā samazinājās par 0,2%, bet pakalpojumu cenas pieauga par 2,9%. Inflācija samazinājusies ārējo faktoru ietekmē – straujais naftas cenu kritums gada nogalē un zemās neapstrādātās pārtikas cenas pasaules tirgos samazināja importēto inflāciju. </w:t>
      </w:r>
      <w:r w:rsidR="00A02E4F" w:rsidRPr="00A02E4F">
        <w:rPr>
          <w:szCs w:val="23"/>
        </w:rPr>
        <w:lastRenderedPageBreak/>
        <w:t>Savukārt pamatinflācija saglabāja pieaugošu tendenci, jo pakalpojumu cenas uzrādīja stabilu pieaugumu visa gada garumā, kas ir atbilstoši pašreizējai Latvijas ekonomikas attīstībai, kā arī pozitīvajām tendencēm darba tirgū.</w:t>
      </w:r>
    </w:p>
    <w:p w14:paraId="7E25FFDD" w14:textId="7A043DB5" w:rsidR="00A34463" w:rsidRDefault="00F87F41" w:rsidP="00A02E4F">
      <w:pPr>
        <w:pStyle w:val="Default"/>
        <w:spacing w:after="60"/>
        <w:ind w:firstLine="720"/>
        <w:jc w:val="both"/>
        <w:rPr>
          <w:szCs w:val="23"/>
        </w:rPr>
      </w:pPr>
      <w:r>
        <w:rPr>
          <w:szCs w:val="23"/>
        </w:rPr>
        <w:t>Kopumā 2014.</w:t>
      </w:r>
      <w:r w:rsidR="00A02E4F" w:rsidRPr="00A02E4F">
        <w:rPr>
          <w:szCs w:val="23"/>
        </w:rPr>
        <w:t>gads Latvijas ekonomikā saistās ar ārējās vides izaicinājumiem un riskiem. Ģeopolitiskais konflikts un tā sekas samazināja tautsaimniecības izaugsmi pērn, kā arī turpinās negatīvi ietekmēt ekonomi</w:t>
      </w:r>
      <w:r>
        <w:rPr>
          <w:szCs w:val="23"/>
        </w:rPr>
        <w:t>skās attīstības tendences 2015.</w:t>
      </w:r>
      <w:r w:rsidR="00A02E4F" w:rsidRPr="00A02E4F">
        <w:rPr>
          <w:szCs w:val="23"/>
        </w:rPr>
        <w:t xml:space="preserve">gadā. </w:t>
      </w:r>
    </w:p>
    <w:p w14:paraId="12D5B7C0" w14:textId="77777777" w:rsidR="00A02E4F" w:rsidRPr="00F51615" w:rsidRDefault="00A02E4F" w:rsidP="00A02E4F">
      <w:pPr>
        <w:pStyle w:val="Default"/>
        <w:spacing w:after="60"/>
        <w:ind w:firstLine="720"/>
        <w:jc w:val="both"/>
        <w:rPr>
          <w:rFonts w:eastAsiaTheme="majorEastAsia"/>
          <w:b/>
          <w:bCs/>
          <w:smallCaps/>
          <w:color w:val="000000" w:themeColor="text1"/>
          <w:szCs w:val="28"/>
        </w:rPr>
      </w:pPr>
    </w:p>
    <w:p w14:paraId="2BF6FAF9" w14:textId="77777777" w:rsidR="00A34463" w:rsidRDefault="00A34463" w:rsidP="007E26F6">
      <w:pPr>
        <w:pStyle w:val="Heading2"/>
        <w:numPr>
          <w:ilvl w:val="1"/>
          <w:numId w:val="1"/>
        </w:numPr>
        <w:spacing w:before="240" w:after="120"/>
        <w:ind w:left="709"/>
        <w:rPr>
          <w:rFonts w:ascii="Times New Roman" w:hAnsi="Times New Roman" w:cs="Times New Roman"/>
          <w:sz w:val="24"/>
        </w:rPr>
      </w:pPr>
      <w:bookmarkStart w:id="5" w:name="_Toc416279065"/>
      <w:r w:rsidRPr="00F51615">
        <w:rPr>
          <w:rFonts w:ascii="Times New Roman" w:hAnsi="Times New Roman" w:cs="Times New Roman"/>
          <w:sz w:val="24"/>
        </w:rPr>
        <w:t>Makroekonomiskās attīstības scenārijs</w:t>
      </w:r>
      <w:bookmarkEnd w:id="5"/>
    </w:p>
    <w:p w14:paraId="4B105A92" w14:textId="4E7AB026" w:rsidR="00A02E4F" w:rsidRPr="00A02E4F" w:rsidRDefault="00A02E4F" w:rsidP="00A02E4F">
      <w:pPr>
        <w:pStyle w:val="Default"/>
        <w:spacing w:after="60"/>
        <w:ind w:firstLine="720"/>
        <w:jc w:val="both"/>
        <w:rPr>
          <w:szCs w:val="23"/>
        </w:rPr>
      </w:pPr>
      <w:r w:rsidRPr="00A02E4F">
        <w:rPr>
          <w:szCs w:val="23"/>
        </w:rPr>
        <w:t>Vidēja termiņa makroekonomiskās attīstī</w:t>
      </w:r>
      <w:r w:rsidR="00F87F41">
        <w:rPr>
          <w:szCs w:val="23"/>
        </w:rPr>
        <w:t>bas scenārijs izstrādāts 2015.</w:t>
      </w:r>
      <w:r w:rsidRPr="00A02E4F">
        <w:rPr>
          <w:szCs w:val="23"/>
        </w:rPr>
        <w:t xml:space="preserve">gada </w:t>
      </w:r>
      <w:r w:rsidR="00F87F41">
        <w:rPr>
          <w:szCs w:val="23"/>
        </w:rPr>
        <w:t>februārī, pamatojoties uz 2014.gada 4.</w:t>
      </w:r>
      <w:r w:rsidRPr="00A02E4F">
        <w:rPr>
          <w:szCs w:val="23"/>
        </w:rPr>
        <w:t>ceturkšņa ātro IKP novērtējumu un statistisko informācij</w:t>
      </w:r>
      <w:r w:rsidR="00F87F41">
        <w:rPr>
          <w:szCs w:val="23"/>
        </w:rPr>
        <w:t>u, kas bija pieejama līdz 2015.gada 11.</w:t>
      </w:r>
      <w:r w:rsidRPr="00A02E4F">
        <w:rPr>
          <w:szCs w:val="23"/>
        </w:rPr>
        <w:t>februārim. Makroekonomiskās attīstības sce</w:t>
      </w:r>
      <w:r w:rsidR="00F87F41">
        <w:rPr>
          <w:szCs w:val="23"/>
        </w:rPr>
        <w:t>nārijā tehniski precizēts 2014.</w:t>
      </w:r>
      <w:r w:rsidRPr="00A02E4F">
        <w:rPr>
          <w:szCs w:val="23"/>
        </w:rPr>
        <w:t>gads pēc pilnu makroekono</w:t>
      </w:r>
      <w:r w:rsidR="00F87F41">
        <w:rPr>
          <w:szCs w:val="23"/>
        </w:rPr>
        <w:t>misko datu saņemšanas par 2014.</w:t>
      </w:r>
      <w:r w:rsidRPr="00A02E4F">
        <w:rPr>
          <w:szCs w:val="23"/>
        </w:rPr>
        <w:t>gadu, nemainot izaugsmes prognozes vidējam termiņam.</w:t>
      </w:r>
    </w:p>
    <w:p w14:paraId="4D6F82FB" w14:textId="34271659" w:rsidR="00A02E4F" w:rsidRPr="00A02E4F" w:rsidRDefault="00A02E4F" w:rsidP="00A02E4F">
      <w:pPr>
        <w:pStyle w:val="Default"/>
        <w:spacing w:after="60"/>
        <w:ind w:firstLine="720"/>
        <w:jc w:val="both"/>
        <w:rPr>
          <w:szCs w:val="23"/>
        </w:rPr>
      </w:pPr>
      <w:r w:rsidRPr="00A02E4F">
        <w:rPr>
          <w:szCs w:val="23"/>
        </w:rPr>
        <w:t xml:space="preserve">Izstrādājot makroekonomisko rādītāju prognozes, </w:t>
      </w:r>
      <w:r w:rsidR="00F87F41">
        <w:rPr>
          <w:szCs w:val="23"/>
        </w:rPr>
        <w:t>FM</w:t>
      </w:r>
      <w:r w:rsidRPr="00A02E4F">
        <w:rPr>
          <w:szCs w:val="23"/>
        </w:rPr>
        <w:t xml:space="preserve"> ir konsultējusies ar ekspertiem no Latvijas Bankas, Ekonomikas ministrijas un komercbankām. Atjaunotās makroekonomisko rādītāju prognozes prezentētas arī Fiskālās disciplīnas padomei.</w:t>
      </w:r>
    </w:p>
    <w:p w14:paraId="4A00BF42" w14:textId="1D553F80" w:rsidR="00A02E4F" w:rsidRPr="00A02E4F" w:rsidRDefault="00A02E4F" w:rsidP="00A02E4F">
      <w:pPr>
        <w:pStyle w:val="Default"/>
        <w:spacing w:after="60"/>
        <w:ind w:firstLine="720"/>
        <w:jc w:val="both"/>
        <w:rPr>
          <w:szCs w:val="23"/>
        </w:rPr>
      </w:pPr>
      <w:r w:rsidRPr="00A02E4F">
        <w:rPr>
          <w:szCs w:val="23"/>
        </w:rPr>
        <w:t xml:space="preserve">Makroekonomiskās attīstības scenārijs veidots pamatojoties uz </w:t>
      </w:r>
      <w:r w:rsidR="00F87F41">
        <w:rPr>
          <w:szCs w:val="23"/>
        </w:rPr>
        <w:t>EK 2015.</w:t>
      </w:r>
      <w:r w:rsidRPr="00A02E4F">
        <w:rPr>
          <w:szCs w:val="23"/>
        </w:rPr>
        <w:t>gada ziemas prognožu tehniskajiem pieņēmumiem. Šie pieņēmumi paredz, ka 20</w:t>
      </w:r>
      <w:r w:rsidR="00F87F41">
        <w:rPr>
          <w:szCs w:val="23"/>
        </w:rPr>
        <w:t>15.</w:t>
      </w:r>
      <w:r w:rsidRPr="00A02E4F">
        <w:rPr>
          <w:szCs w:val="23"/>
        </w:rPr>
        <w:t>gadā vidējā naftas cena būs 53 dolāri par Brent j</w:t>
      </w:r>
      <w:r w:rsidR="00F87F41">
        <w:rPr>
          <w:szCs w:val="23"/>
        </w:rPr>
        <w:t>ēlnaftas barelu, savukārt 2016.</w:t>
      </w:r>
      <w:r w:rsidRPr="00A02E4F">
        <w:rPr>
          <w:szCs w:val="23"/>
        </w:rPr>
        <w:t>gadā tā būs 61,5 dolāri. Tāpat tiek pieņemts, ka vidējā termiņā EUR/USD kurss būs 1,17.</w:t>
      </w:r>
    </w:p>
    <w:p w14:paraId="19B62C48" w14:textId="39C16C58" w:rsidR="00A02E4F" w:rsidRPr="00A02E4F" w:rsidRDefault="00A02E4F" w:rsidP="00A02E4F">
      <w:pPr>
        <w:pStyle w:val="Default"/>
        <w:spacing w:after="60"/>
        <w:ind w:firstLine="720"/>
        <w:jc w:val="both"/>
        <w:rPr>
          <w:szCs w:val="23"/>
        </w:rPr>
      </w:pPr>
      <w:r w:rsidRPr="00A02E4F">
        <w:rPr>
          <w:szCs w:val="23"/>
        </w:rPr>
        <w:t xml:space="preserve">Prognozēs pieņemts, ka </w:t>
      </w:r>
      <w:r w:rsidR="00F87F41">
        <w:rPr>
          <w:i/>
          <w:szCs w:val="23"/>
        </w:rPr>
        <w:t>euro</w:t>
      </w:r>
      <w:r w:rsidR="00F87F41" w:rsidRPr="00A02E4F">
        <w:rPr>
          <w:szCs w:val="23"/>
        </w:rPr>
        <w:t xml:space="preserve"> </w:t>
      </w:r>
      <w:r w:rsidRPr="00A02E4F">
        <w:rPr>
          <w:szCs w:val="23"/>
        </w:rPr>
        <w:t xml:space="preserve">zonā turpināsies lēna, bet tomēr stabila ekonomikas atveseļošanās un izaugsmes tempi pakāpeniski kļūs straujāki, vidējā termiņā tuvojoties 1,5% - 2% izaugsmei. Tādējādi palielināsies pieprasījums pēc Latvijas precēm un pakalpojumiem, kas veicinās ekonomikas izaugsmes tempu paātrināšanos 2016. un 2017.gadā. </w:t>
      </w:r>
    </w:p>
    <w:p w14:paraId="7CCD8FCF" w14:textId="44059663" w:rsidR="00A02E4F" w:rsidRPr="00A02E4F" w:rsidRDefault="00A02E4F" w:rsidP="00A02E4F">
      <w:pPr>
        <w:pStyle w:val="Default"/>
        <w:spacing w:after="60"/>
        <w:ind w:firstLine="720"/>
        <w:jc w:val="both"/>
        <w:rPr>
          <w:szCs w:val="23"/>
        </w:rPr>
      </w:pPr>
      <w:r w:rsidRPr="00A02E4F">
        <w:rPr>
          <w:szCs w:val="23"/>
        </w:rPr>
        <w:t>Ņemot vērā izmaiņas ā</w:t>
      </w:r>
      <w:r w:rsidR="00A8142A">
        <w:rPr>
          <w:szCs w:val="23"/>
        </w:rPr>
        <w:t>rējā ekonomiskajā vidē un 2014.</w:t>
      </w:r>
      <w:r w:rsidRPr="00A02E4F">
        <w:rPr>
          <w:szCs w:val="23"/>
        </w:rPr>
        <w:t xml:space="preserve">gada faktiskos izaugsmes rādītājus, </w:t>
      </w:r>
      <w:r w:rsidR="00A8142A">
        <w:rPr>
          <w:szCs w:val="23"/>
        </w:rPr>
        <w:t>FM salīdzinājumā ar 2015.</w:t>
      </w:r>
      <w:r w:rsidRPr="00A02E4F">
        <w:rPr>
          <w:szCs w:val="23"/>
        </w:rPr>
        <w:t>gada budžeta prognozēm ir samazinājusi IKP pie</w:t>
      </w:r>
      <w:r w:rsidR="00A8142A">
        <w:rPr>
          <w:szCs w:val="23"/>
        </w:rPr>
        <w:t>auguma prognozes 2015. un 2016.</w:t>
      </w:r>
      <w:r w:rsidRPr="00A02E4F">
        <w:rPr>
          <w:szCs w:val="23"/>
        </w:rPr>
        <w:t xml:space="preserve">gadam. Saskaņā ar </w:t>
      </w:r>
      <w:r w:rsidR="00A8142A">
        <w:rPr>
          <w:szCs w:val="23"/>
        </w:rPr>
        <w:t>FM</w:t>
      </w:r>
      <w:r w:rsidRPr="00A02E4F">
        <w:rPr>
          <w:szCs w:val="23"/>
        </w:rPr>
        <w:t xml:space="preserve"> prognozēm I</w:t>
      </w:r>
      <w:r w:rsidR="00A8142A">
        <w:rPr>
          <w:szCs w:val="23"/>
        </w:rPr>
        <w:t>KP 2015.</w:t>
      </w:r>
      <w:r w:rsidRPr="00A02E4F">
        <w:rPr>
          <w:szCs w:val="23"/>
        </w:rPr>
        <w:t>gadā p</w:t>
      </w:r>
      <w:r w:rsidR="00A8142A">
        <w:rPr>
          <w:szCs w:val="23"/>
        </w:rPr>
        <w:t>ieaugs par 2,1%, savukārt 2016.</w:t>
      </w:r>
      <w:r w:rsidRPr="00A02E4F">
        <w:rPr>
          <w:szCs w:val="23"/>
        </w:rPr>
        <w:t>gadā tas augs par 3,</w:t>
      </w:r>
      <w:r w:rsidR="00A8142A">
        <w:rPr>
          <w:szCs w:val="23"/>
        </w:rPr>
        <w:t>0%. Ārējo faktoru ietekmē 2015.</w:t>
      </w:r>
      <w:r w:rsidRPr="00A02E4F">
        <w:rPr>
          <w:szCs w:val="23"/>
        </w:rPr>
        <w:t>gada pirmajā pusē ekonomikas izaugsm</w:t>
      </w:r>
      <w:r w:rsidR="00A8142A">
        <w:rPr>
          <w:szCs w:val="23"/>
        </w:rPr>
        <w:t>e būs nedaudz zemāka nekā 2014.</w:t>
      </w:r>
      <w:r w:rsidRPr="00A02E4F">
        <w:rPr>
          <w:szCs w:val="23"/>
        </w:rPr>
        <w:t>gada otrajā pusē.</w:t>
      </w:r>
    </w:p>
    <w:p w14:paraId="7512E73D" w14:textId="382B1FDD" w:rsidR="00A02E4F" w:rsidRPr="00A02E4F" w:rsidRDefault="00A02E4F" w:rsidP="00A02E4F">
      <w:pPr>
        <w:pStyle w:val="Default"/>
        <w:spacing w:after="60"/>
        <w:ind w:firstLine="720"/>
        <w:jc w:val="both"/>
        <w:rPr>
          <w:szCs w:val="23"/>
        </w:rPr>
      </w:pPr>
      <w:r w:rsidRPr="00A02E4F">
        <w:rPr>
          <w:szCs w:val="23"/>
        </w:rPr>
        <w:t>Sagaidāms, ka salīdzinājumā ar iepriekšējo ceturksni pēc sezonāli izlīd</w:t>
      </w:r>
      <w:r w:rsidR="00A8142A">
        <w:rPr>
          <w:szCs w:val="23"/>
        </w:rPr>
        <w:t>zinātiem datiem IKP 2015.</w:t>
      </w:r>
      <w:r w:rsidRPr="00A02E4F">
        <w:rPr>
          <w:szCs w:val="23"/>
        </w:rPr>
        <w:t>gada pirmajos divos ceturkšņos palielināsies par 0,4% - 0,5%. Makroekonomiskajā scenārijā pieņemts, ka Krievijas noteiktās sankcijas būs spēkā vienu gadu no to</w:t>
      </w:r>
      <w:r w:rsidR="00A8142A">
        <w:rPr>
          <w:szCs w:val="23"/>
        </w:rPr>
        <w:t xml:space="preserve"> noteikšanas brīža, tādēļ 2015.</w:t>
      </w:r>
      <w:r w:rsidRPr="00A02E4F">
        <w:rPr>
          <w:szCs w:val="23"/>
        </w:rPr>
        <w:t xml:space="preserve">gada otrajā pusē gaidāms pakāpenisks izaugsmes tempu paātrinājums, ko ierobežos recesija Krievijā un Krievijas rubļa zemā vērtība pret </w:t>
      </w:r>
      <w:r w:rsidR="00A8142A">
        <w:rPr>
          <w:i/>
          <w:szCs w:val="23"/>
        </w:rPr>
        <w:t>euro</w:t>
      </w:r>
      <w:r w:rsidRPr="00A02E4F">
        <w:rPr>
          <w:szCs w:val="23"/>
        </w:rPr>
        <w:t>.</w:t>
      </w:r>
    </w:p>
    <w:p w14:paraId="713E16DA" w14:textId="65DE49E3" w:rsidR="00A02E4F" w:rsidRPr="00A02E4F" w:rsidRDefault="00A02E4F" w:rsidP="00A02E4F">
      <w:pPr>
        <w:pStyle w:val="Default"/>
        <w:spacing w:after="60"/>
        <w:ind w:firstLine="720"/>
        <w:jc w:val="both"/>
        <w:rPr>
          <w:szCs w:val="23"/>
        </w:rPr>
      </w:pPr>
      <w:r w:rsidRPr="00A02E4F">
        <w:rPr>
          <w:szCs w:val="23"/>
        </w:rPr>
        <w:t>Īstermiņā ekonomikas izaugsmi turpinās balstīt privātā patēriņa pieaugu</w:t>
      </w:r>
      <w:r w:rsidR="00A8142A">
        <w:rPr>
          <w:szCs w:val="23"/>
        </w:rPr>
        <w:t>ms, savukārt investīcijās 2015.</w:t>
      </w:r>
      <w:r w:rsidRPr="00A02E4F">
        <w:rPr>
          <w:szCs w:val="23"/>
        </w:rPr>
        <w:t xml:space="preserve">gadā gaidāms kritums. Līdz ar zemākām naftas cenām sagaidāms, ka uzlabosies Latvijas tirdzniecības nosacījumi, eksporta cenu pieaugumam pārsniedzot importa cenu pieaugumu. Vidējā termiņā, ārējai nenoteiktībai mazinoties, izaugsme atkal kļūs sabalansēta starp ārējo un iekšējo pieprasījumu. Atbilstoši </w:t>
      </w:r>
      <w:r w:rsidR="00A8142A">
        <w:rPr>
          <w:szCs w:val="23"/>
        </w:rPr>
        <w:t>FM</w:t>
      </w:r>
      <w:r w:rsidRPr="00A02E4F">
        <w:rPr>
          <w:szCs w:val="23"/>
        </w:rPr>
        <w:t xml:space="preserve"> progno</w:t>
      </w:r>
      <w:r w:rsidR="00A8142A">
        <w:rPr>
          <w:szCs w:val="23"/>
        </w:rPr>
        <w:t>zēm Latvijas IKP 2017. un 2018.</w:t>
      </w:r>
      <w:r w:rsidRPr="00A02E4F">
        <w:rPr>
          <w:szCs w:val="23"/>
        </w:rPr>
        <w:t>gadā palielināsies par 3,6% gadā.</w:t>
      </w:r>
    </w:p>
    <w:p w14:paraId="22CBCC76" w14:textId="77777777" w:rsidR="00A8142A" w:rsidRDefault="00A8142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75FFA799" w14:textId="0D9185EF" w:rsidR="00A02E4F" w:rsidRPr="005812B4" w:rsidRDefault="00F87F41" w:rsidP="005812B4">
      <w:pPr>
        <w:spacing w:before="240" w:after="120" w:line="240" w:lineRule="auto"/>
        <w:jc w:val="right"/>
        <w:rPr>
          <w:rFonts w:ascii="Times New Roman" w:hAnsi="Times New Roman" w:cs="Times New Roman"/>
          <w:b/>
          <w:sz w:val="24"/>
          <w:szCs w:val="24"/>
        </w:rPr>
      </w:pPr>
      <w:r w:rsidRPr="005812B4">
        <w:rPr>
          <w:rFonts w:ascii="Times New Roman" w:hAnsi="Times New Roman" w:cs="Times New Roman"/>
          <w:b/>
          <w:sz w:val="24"/>
          <w:szCs w:val="24"/>
        </w:rPr>
        <w:lastRenderedPageBreak/>
        <w:t>2.2.</w:t>
      </w:r>
      <w:r w:rsidR="00A02E4F" w:rsidRPr="005812B4">
        <w:rPr>
          <w:rFonts w:ascii="Times New Roman" w:hAnsi="Times New Roman" w:cs="Times New Roman"/>
          <w:b/>
          <w:sz w:val="24"/>
          <w:szCs w:val="24"/>
        </w:rPr>
        <w:t>tabula. Izaugsme un ar to saistītie faktori</w:t>
      </w:r>
    </w:p>
    <w:tbl>
      <w:tblPr>
        <w:tblStyle w:val="GridTable6ColorfulAccent1"/>
        <w:tblW w:w="9073" w:type="dxa"/>
        <w:jc w:val="center"/>
        <w:tblLook w:val="04A0" w:firstRow="1" w:lastRow="0" w:firstColumn="1" w:lastColumn="0" w:noHBand="0" w:noVBand="1"/>
      </w:tblPr>
      <w:tblGrid>
        <w:gridCol w:w="3726"/>
        <w:gridCol w:w="952"/>
        <w:gridCol w:w="1134"/>
        <w:gridCol w:w="714"/>
        <w:gridCol w:w="616"/>
        <w:gridCol w:w="616"/>
        <w:gridCol w:w="616"/>
        <w:gridCol w:w="699"/>
      </w:tblGrid>
      <w:tr w:rsidR="00D811E2" w:rsidRPr="00D811E2" w14:paraId="0E94A345" w14:textId="77777777" w:rsidTr="00032492">
        <w:trPr>
          <w:cnfStyle w:val="100000000000" w:firstRow="1" w:lastRow="0" w:firstColumn="0" w:lastColumn="0" w:oddVBand="0" w:evenVBand="0" w:oddHBand="0"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3726" w:type="dxa"/>
            <w:vMerge w:val="restart"/>
            <w:hideMark/>
          </w:tcPr>
          <w:p w14:paraId="1FFA5528" w14:textId="77777777" w:rsidR="007E51A4" w:rsidRPr="00D811E2" w:rsidRDefault="007E51A4" w:rsidP="007E51A4">
            <w:pPr>
              <w:jc w:val="center"/>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 </w:t>
            </w:r>
          </w:p>
        </w:tc>
        <w:tc>
          <w:tcPr>
            <w:tcW w:w="952" w:type="dxa"/>
            <w:vMerge w:val="restart"/>
            <w:noWrap/>
            <w:hideMark/>
          </w:tcPr>
          <w:p w14:paraId="61A1A7D6" w14:textId="77777777" w:rsidR="007E51A4" w:rsidRPr="00D811E2" w:rsidRDefault="007E51A4" w:rsidP="007E51A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rPr>
            </w:pPr>
            <w:r w:rsidRPr="00D811E2">
              <w:rPr>
                <w:rFonts w:ascii="Times New Roman" w:eastAsia="Times New Roman" w:hAnsi="Times New Roman" w:cs="Times New Roman"/>
                <w:b w:val="0"/>
                <w:bCs w:val="0"/>
                <w:color w:val="auto"/>
                <w:sz w:val="20"/>
                <w:szCs w:val="20"/>
              </w:rPr>
              <w:t>EKS Kods</w:t>
            </w:r>
          </w:p>
        </w:tc>
        <w:tc>
          <w:tcPr>
            <w:tcW w:w="1134" w:type="dxa"/>
            <w:noWrap/>
            <w:hideMark/>
          </w:tcPr>
          <w:p w14:paraId="11B0A173" w14:textId="77777777" w:rsidR="007E51A4" w:rsidRPr="00D811E2" w:rsidRDefault="007E51A4" w:rsidP="007E51A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rPr>
            </w:pPr>
            <w:r w:rsidRPr="00D811E2">
              <w:rPr>
                <w:rFonts w:ascii="Times New Roman" w:eastAsia="Times New Roman" w:hAnsi="Times New Roman" w:cs="Times New Roman"/>
                <w:b w:val="0"/>
                <w:bCs w:val="0"/>
                <w:color w:val="auto"/>
                <w:sz w:val="20"/>
                <w:szCs w:val="20"/>
              </w:rPr>
              <w:t>2014</w:t>
            </w:r>
          </w:p>
        </w:tc>
        <w:tc>
          <w:tcPr>
            <w:tcW w:w="714" w:type="dxa"/>
            <w:noWrap/>
            <w:hideMark/>
          </w:tcPr>
          <w:p w14:paraId="402E710C" w14:textId="77777777" w:rsidR="007E51A4" w:rsidRPr="00D811E2" w:rsidRDefault="007E51A4" w:rsidP="007E51A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rPr>
            </w:pPr>
            <w:r w:rsidRPr="00D811E2">
              <w:rPr>
                <w:rFonts w:ascii="Times New Roman" w:eastAsia="Times New Roman" w:hAnsi="Times New Roman" w:cs="Times New Roman"/>
                <w:b w:val="0"/>
                <w:bCs w:val="0"/>
                <w:color w:val="auto"/>
                <w:sz w:val="20"/>
                <w:szCs w:val="20"/>
              </w:rPr>
              <w:t>2014</w:t>
            </w:r>
          </w:p>
        </w:tc>
        <w:tc>
          <w:tcPr>
            <w:tcW w:w="616" w:type="dxa"/>
            <w:noWrap/>
            <w:hideMark/>
          </w:tcPr>
          <w:p w14:paraId="50B3C302" w14:textId="77777777" w:rsidR="007E51A4" w:rsidRPr="00D811E2" w:rsidRDefault="007E51A4" w:rsidP="007E51A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rPr>
            </w:pPr>
            <w:r w:rsidRPr="00D811E2">
              <w:rPr>
                <w:rFonts w:ascii="Times New Roman" w:eastAsia="Times New Roman" w:hAnsi="Times New Roman" w:cs="Times New Roman"/>
                <w:b w:val="0"/>
                <w:bCs w:val="0"/>
                <w:color w:val="auto"/>
                <w:sz w:val="20"/>
                <w:szCs w:val="20"/>
              </w:rPr>
              <w:t>2015</w:t>
            </w:r>
          </w:p>
        </w:tc>
        <w:tc>
          <w:tcPr>
            <w:tcW w:w="616" w:type="dxa"/>
            <w:noWrap/>
            <w:hideMark/>
          </w:tcPr>
          <w:p w14:paraId="1B4D01EA" w14:textId="77777777" w:rsidR="007E51A4" w:rsidRPr="00D811E2" w:rsidRDefault="007E51A4" w:rsidP="007E51A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rPr>
            </w:pPr>
            <w:r w:rsidRPr="00D811E2">
              <w:rPr>
                <w:rFonts w:ascii="Times New Roman" w:eastAsia="Times New Roman" w:hAnsi="Times New Roman" w:cs="Times New Roman"/>
                <w:b w:val="0"/>
                <w:bCs w:val="0"/>
                <w:color w:val="auto"/>
                <w:sz w:val="20"/>
                <w:szCs w:val="20"/>
              </w:rPr>
              <w:t>2016</w:t>
            </w:r>
          </w:p>
        </w:tc>
        <w:tc>
          <w:tcPr>
            <w:tcW w:w="616" w:type="dxa"/>
            <w:noWrap/>
            <w:hideMark/>
          </w:tcPr>
          <w:p w14:paraId="744F2DD8" w14:textId="77777777" w:rsidR="007E51A4" w:rsidRPr="00D811E2" w:rsidRDefault="007E51A4" w:rsidP="007E51A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rPr>
            </w:pPr>
            <w:r w:rsidRPr="00D811E2">
              <w:rPr>
                <w:rFonts w:ascii="Times New Roman" w:eastAsia="Times New Roman" w:hAnsi="Times New Roman" w:cs="Times New Roman"/>
                <w:b w:val="0"/>
                <w:bCs w:val="0"/>
                <w:color w:val="auto"/>
                <w:sz w:val="20"/>
                <w:szCs w:val="20"/>
              </w:rPr>
              <w:t>2017</w:t>
            </w:r>
          </w:p>
        </w:tc>
        <w:tc>
          <w:tcPr>
            <w:tcW w:w="699" w:type="dxa"/>
            <w:noWrap/>
            <w:hideMark/>
          </w:tcPr>
          <w:p w14:paraId="1C9EAE62" w14:textId="77777777" w:rsidR="007E51A4" w:rsidRPr="00D811E2" w:rsidRDefault="007E51A4" w:rsidP="007E51A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rPr>
            </w:pPr>
            <w:r w:rsidRPr="00D811E2">
              <w:rPr>
                <w:rFonts w:ascii="Times New Roman" w:eastAsia="Times New Roman" w:hAnsi="Times New Roman" w:cs="Times New Roman"/>
                <w:b w:val="0"/>
                <w:bCs w:val="0"/>
                <w:color w:val="auto"/>
                <w:sz w:val="20"/>
                <w:szCs w:val="20"/>
              </w:rPr>
              <w:t>2018</w:t>
            </w:r>
          </w:p>
        </w:tc>
      </w:tr>
      <w:tr w:rsidR="00D811E2" w:rsidRPr="00D811E2" w14:paraId="018A51B1" w14:textId="77777777" w:rsidTr="00032492">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3726" w:type="dxa"/>
            <w:vMerge/>
            <w:hideMark/>
          </w:tcPr>
          <w:p w14:paraId="77485459" w14:textId="77777777" w:rsidR="007E51A4" w:rsidRPr="00D811E2" w:rsidRDefault="007E51A4" w:rsidP="007E51A4">
            <w:pPr>
              <w:rPr>
                <w:rFonts w:ascii="Times New Roman" w:eastAsia="Times New Roman" w:hAnsi="Times New Roman" w:cs="Times New Roman"/>
                <w:color w:val="auto"/>
                <w:sz w:val="20"/>
                <w:szCs w:val="20"/>
              </w:rPr>
            </w:pPr>
          </w:p>
        </w:tc>
        <w:tc>
          <w:tcPr>
            <w:tcW w:w="952" w:type="dxa"/>
            <w:vMerge/>
            <w:hideMark/>
          </w:tcPr>
          <w:p w14:paraId="2CD8C2B5" w14:textId="77777777" w:rsidR="007E51A4" w:rsidRPr="00D811E2" w:rsidRDefault="007E51A4" w:rsidP="007E51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134" w:type="dxa"/>
            <w:shd w:val="clear" w:color="auto" w:fill="FFFFFF" w:themeFill="background1"/>
            <w:noWrap/>
            <w:hideMark/>
          </w:tcPr>
          <w:p w14:paraId="12B274A5" w14:textId="77777777" w:rsidR="007E51A4" w:rsidRPr="00D811E2" w:rsidRDefault="007E51A4" w:rsidP="007E51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 xml:space="preserve">milj. </w:t>
            </w:r>
            <w:r w:rsidRPr="00D811E2">
              <w:rPr>
                <w:rFonts w:ascii="Times New Roman" w:eastAsia="Times New Roman" w:hAnsi="Times New Roman" w:cs="Times New Roman"/>
                <w:i/>
                <w:iCs/>
                <w:color w:val="auto"/>
                <w:sz w:val="20"/>
                <w:szCs w:val="20"/>
              </w:rPr>
              <w:t>euro</w:t>
            </w:r>
          </w:p>
        </w:tc>
        <w:tc>
          <w:tcPr>
            <w:tcW w:w="3261" w:type="dxa"/>
            <w:gridSpan w:val="5"/>
            <w:shd w:val="clear" w:color="auto" w:fill="FFFFFF" w:themeFill="background1"/>
            <w:noWrap/>
            <w:hideMark/>
          </w:tcPr>
          <w:p w14:paraId="63319E14" w14:textId="77777777" w:rsidR="007E51A4" w:rsidRPr="00D811E2" w:rsidRDefault="007E51A4" w:rsidP="007E51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szCs w:val="20"/>
              </w:rPr>
            </w:pPr>
            <w:r w:rsidRPr="00D811E2">
              <w:rPr>
                <w:rFonts w:ascii="Times New Roman" w:eastAsia="Times New Roman" w:hAnsi="Times New Roman" w:cs="Times New Roman"/>
                <w:b/>
                <w:color w:val="auto"/>
                <w:sz w:val="20"/>
                <w:szCs w:val="20"/>
              </w:rPr>
              <w:t>Pieaugums %</w:t>
            </w:r>
          </w:p>
        </w:tc>
      </w:tr>
      <w:tr w:rsidR="00D811E2" w:rsidRPr="00D811E2" w14:paraId="1EAFE63B" w14:textId="77777777" w:rsidTr="00032492">
        <w:trPr>
          <w:trHeight w:val="168"/>
          <w:jc w:val="center"/>
        </w:trPr>
        <w:tc>
          <w:tcPr>
            <w:cnfStyle w:val="001000000000" w:firstRow="0" w:lastRow="0" w:firstColumn="1" w:lastColumn="0" w:oddVBand="0" w:evenVBand="0" w:oddHBand="0" w:evenHBand="0" w:firstRowFirstColumn="0" w:firstRowLastColumn="0" w:lastRowFirstColumn="0" w:lastRowLastColumn="0"/>
            <w:tcW w:w="3726" w:type="dxa"/>
            <w:shd w:val="clear" w:color="auto" w:fill="DEEAF6" w:themeFill="accent1" w:themeFillTint="33"/>
            <w:hideMark/>
          </w:tcPr>
          <w:p w14:paraId="326CA069" w14:textId="77777777" w:rsidR="007E51A4" w:rsidRPr="00D811E2" w:rsidRDefault="007E51A4" w:rsidP="007E51A4">
            <w:pPr>
              <w:rPr>
                <w:rFonts w:ascii="Times New Roman" w:eastAsia="Times New Roman" w:hAnsi="Times New Roman" w:cs="Times New Roman"/>
                <w:b w:val="0"/>
                <w:color w:val="auto"/>
                <w:sz w:val="20"/>
                <w:szCs w:val="20"/>
              </w:rPr>
            </w:pPr>
            <w:r w:rsidRPr="00D811E2">
              <w:rPr>
                <w:rFonts w:ascii="Times New Roman" w:eastAsia="Times New Roman" w:hAnsi="Times New Roman" w:cs="Times New Roman"/>
                <w:b w:val="0"/>
                <w:color w:val="auto"/>
                <w:sz w:val="20"/>
                <w:szCs w:val="20"/>
              </w:rPr>
              <w:t>1. IKP 2010.gada cenās</w:t>
            </w:r>
          </w:p>
        </w:tc>
        <w:tc>
          <w:tcPr>
            <w:tcW w:w="952" w:type="dxa"/>
            <w:shd w:val="clear" w:color="auto" w:fill="DEEAF6" w:themeFill="accent1" w:themeFillTint="33"/>
            <w:noWrap/>
            <w:hideMark/>
          </w:tcPr>
          <w:p w14:paraId="0C529CF6" w14:textId="77777777" w:rsidR="007E51A4" w:rsidRPr="00D811E2" w:rsidRDefault="007E51A4" w:rsidP="007E51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B1*g</w:t>
            </w:r>
          </w:p>
        </w:tc>
        <w:tc>
          <w:tcPr>
            <w:tcW w:w="1134" w:type="dxa"/>
            <w:shd w:val="clear" w:color="auto" w:fill="DEEAF6" w:themeFill="accent1" w:themeFillTint="33"/>
            <w:noWrap/>
            <w:hideMark/>
          </w:tcPr>
          <w:p w14:paraId="585C4CEA" w14:textId="77777777" w:rsidR="007E51A4" w:rsidRPr="00D811E2" w:rsidRDefault="007E51A4" w:rsidP="007E51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21333,4</w:t>
            </w:r>
          </w:p>
        </w:tc>
        <w:tc>
          <w:tcPr>
            <w:tcW w:w="714" w:type="dxa"/>
            <w:shd w:val="clear" w:color="auto" w:fill="DEEAF6" w:themeFill="accent1" w:themeFillTint="33"/>
            <w:noWrap/>
            <w:hideMark/>
          </w:tcPr>
          <w:p w14:paraId="67FF9066" w14:textId="77777777" w:rsidR="007E51A4" w:rsidRPr="00D811E2" w:rsidRDefault="007E51A4" w:rsidP="007E51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2,4</w:t>
            </w:r>
          </w:p>
        </w:tc>
        <w:tc>
          <w:tcPr>
            <w:tcW w:w="616" w:type="dxa"/>
            <w:shd w:val="clear" w:color="auto" w:fill="DEEAF6" w:themeFill="accent1" w:themeFillTint="33"/>
            <w:noWrap/>
            <w:hideMark/>
          </w:tcPr>
          <w:p w14:paraId="5253840D" w14:textId="77777777" w:rsidR="007E51A4" w:rsidRPr="00D811E2" w:rsidRDefault="007E51A4" w:rsidP="007E51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2,1</w:t>
            </w:r>
          </w:p>
        </w:tc>
        <w:tc>
          <w:tcPr>
            <w:tcW w:w="616" w:type="dxa"/>
            <w:shd w:val="clear" w:color="auto" w:fill="DEEAF6" w:themeFill="accent1" w:themeFillTint="33"/>
            <w:noWrap/>
            <w:hideMark/>
          </w:tcPr>
          <w:p w14:paraId="68FDCF3F" w14:textId="19C59C8D" w:rsidR="007E51A4" w:rsidRPr="00D811E2" w:rsidRDefault="007E51A4" w:rsidP="007E51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3,0</w:t>
            </w:r>
          </w:p>
        </w:tc>
        <w:tc>
          <w:tcPr>
            <w:tcW w:w="616" w:type="dxa"/>
            <w:shd w:val="clear" w:color="auto" w:fill="DEEAF6" w:themeFill="accent1" w:themeFillTint="33"/>
            <w:noWrap/>
            <w:hideMark/>
          </w:tcPr>
          <w:p w14:paraId="6C048CA2" w14:textId="77777777" w:rsidR="007E51A4" w:rsidRPr="00D811E2" w:rsidRDefault="007E51A4" w:rsidP="007E51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3,6</w:t>
            </w:r>
          </w:p>
        </w:tc>
        <w:tc>
          <w:tcPr>
            <w:tcW w:w="699" w:type="dxa"/>
            <w:shd w:val="clear" w:color="auto" w:fill="DEEAF6" w:themeFill="accent1" w:themeFillTint="33"/>
            <w:noWrap/>
            <w:hideMark/>
          </w:tcPr>
          <w:p w14:paraId="05942083" w14:textId="77777777" w:rsidR="007E51A4" w:rsidRPr="00D811E2" w:rsidRDefault="007E51A4" w:rsidP="007E51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3,6</w:t>
            </w:r>
          </w:p>
        </w:tc>
      </w:tr>
      <w:tr w:rsidR="00D811E2" w:rsidRPr="00D811E2" w14:paraId="0505EFD9" w14:textId="77777777" w:rsidTr="00032492">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3726" w:type="dxa"/>
            <w:shd w:val="clear" w:color="auto" w:fill="FFFFFF" w:themeFill="background1"/>
            <w:hideMark/>
          </w:tcPr>
          <w:p w14:paraId="5D203874" w14:textId="77777777" w:rsidR="007E51A4" w:rsidRPr="00D811E2" w:rsidRDefault="007E51A4" w:rsidP="007E51A4">
            <w:pPr>
              <w:rPr>
                <w:rFonts w:ascii="Times New Roman" w:eastAsia="Times New Roman" w:hAnsi="Times New Roman" w:cs="Times New Roman"/>
                <w:b w:val="0"/>
                <w:color w:val="auto"/>
                <w:sz w:val="20"/>
                <w:szCs w:val="20"/>
              </w:rPr>
            </w:pPr>
            <w:r w:rsidRPr="00D811E2">
              <w:rPr>
                <w:rFonts w:ascii="Times New Roman" w:eastAsia="Times New Roman" w:hAnsi="Times New Roman" w:cs="Times New Roman"/>
                <w:b w:val="0"/>
                <w:color w:val="auto"/>
                <w:sz w:val="20"/>
                <w:szCs w:val="20"/>
              </w:rPr>
              <w:t>2. IKP faktiskajās cenās</w:t>
            </w:r>
          </w:p>
        </w:tc>
        <w:tc>
          <w:tcPr>
            <w:tcW w:w="952" w:type="dxa"/>
            <w:shd w:val="clear" w:color="auto" w:fill="FFFFFF" w:themeFill="background1"/>
            <w:noWrap/>
            <w:hideMark/>
          </w:tcPr>
          <w:p w14:paraId="38229DDF" w14:textId="77777777" w:rsidR="007E51A4" w:rsidRPr="00D811E2" w:rsidRDefault="007E51A4" w:rsidP="007E51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B1*g</w:t>
            </w:r>
          </w:p>
        </w:tc>
        <w:tc>
          <w:tcPr>
            <w:tcW w:w="1134" w:type="dxa"/>
            <w:shd w:val="clear" w:color="auto" w:fill="FFFFFF" w:themeFill="background1"/>
            <w:noWrap/>
            <w:hideMark/>
          </w:tcPr>
          <w:p w14:paraId="230F44C9" w14:textId="77777777" w:rsidR="007E51A4" w:rsidRPr="00D811E2" w:rsidRDefault="007E51A4" w:rsidP="007E51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24058,1</w:t>
            </w:r>
          </w:p>
        </w:tc>
        <w:tc>
          <w:tcPr>
            <w:tcW w:w="714" w:type="dxa"/>
            <w:shd w:val="clear" w:color="auto" w:fill="FFFFFF" w:themeFill="background1"/>
            <w:noWrap/>
            <w:hideMark/>
          </w:tcPr>
          <w:p w14:paraId="1BCEA585" w14:textId="77777777" w:rsidR="007E51A4" w:rsidRPr="00D811E2" w:rsidRDefault="007E51A4" w:rsidP="007E51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3,6</w:t>
            </w:r>
          </w:p>
        </w:tc>
        <w:tc>
          <w:tcPr>
            <w:tcW w:w="616" w:type="dxa"/>
            <w:shd w:val="clear" w:color="auto" w:fill="FFFFFF" w:themeFill="background1"/>
            <w:noWrap/>
            <w:hideMark/>
          </w:tcPr>
          <w:p w14:paraId="61B09244" w14:textId="77777777" w:rsidR="007E51A4" w:rsidRPr="00D811E2" w:rsidRDefault="007E51A4" w:rsidP="007E51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3,3</w:t>
            </w:r>
          </w:p>
        </w:tc>
        <w:tc>
          <w:tcPr>
            <w:tcW w:w="616" w:type="dxa"/>
            <w:shd w:val="clear" w:color="auto" w:fill="FFFFFF" w:themeFill="background1"/>
            <w:noWrap/>
            <w:hideMark/>
          </w:tcPr>
          <w:p w14:paraId="4DE82853" w14:textId="4D139EF8" w:rsidR="007E51A4" w:rsidRPr="00D811E2" w:rsidRDefault="007E51A4" w:rsidP="007E51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5,0</w:t>
            </w:r>
          </w:p>
        </w:tc>
        <w:tc>
          <w:tcPr>
            <w:tcW w:w="616" w:type="dxa"/>
            <w:shd w:val="clear" w:color="auto" w:fill="FFFFFF" w:themeFill="background1"/>
            <w:noWrap/>
            <w:hideMark/>
          </w:tcPr>
          <w:p w14:paraId="5E5FC806" w14:textId="77777777" w:rsidR="007E51A4" w:rsidRPr="00D811E2" w:rsidRDefault="007E51A4" w:rsidP="007E51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6,2</w:t>
            </w:r>
          </w:p>
        </w:tc>
        <w:tc>
          <w:tcPr>
            <w:tcW w:w="699" w:type="dxa"/>
            <w:shd w:val="clear" w:color="auto" w:fill="FFFFFF" w:themeFill="background1"/>
            <w:noWrap/>
            <w:hideMark/>
          </w:tcPr>
          <w:p w14:paraId="1B898026" w14:textId="77777777" w:rsidR="007E51A4" w:rsidRPr="00D811E2" w:rsidRDefault="007E51A4" w:rsidP="007E51A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6,2</w:t>
            </w:r>
          </w:p>
        </w:tc>
      </w:tr>
      <w:tr w:rsidR="00D811E2" w:rsidRPr="00D811E2" w14:paraId="573C0CFD" w14:textId="77777777" w:rsidTr="00032492">
        <w:trPr>
          <w:trHeight w:val="118"/>
          <w:jc w:val="center"/>
        </w:trPr>
        <w:tc>
          <w:tcPr>
            <w:cnfStyle w:val="001000000000" w:firstRow="0" w:lastRow="0" w:firstColumn="1" w:lastColumn="0" w:oddVBand="0" w:evenVBand="0" w:oddHBand="0" w:evenHBand="0" w:firstRowFirstColumn="0" w:firstRowLastColumn="0" w:lastRowFirstColumn="0" w:lastRowLastColumn="0"/>
            <w:tcW w:w="9073" w:type="dxa"/>
            <w:gridSpan w:val="8"/>
            <w:shd w:val="clear" w:color="auto" w:fill="DEEAF6" w:themeFill="accent1" w:themeFillTint="33"/>
            <w:noWrap/>
            <w:hideMark/>
          </w:tcPr>
          <w:p w14:paraId="4FCF1A98" w14:textId="77777777" w:rsidR="007E51A4" w:rsidRPr="00D811E2" w:rsidRDefault="007E51A4" w:rsidP="007E51A4">
            <w:pPr>
              <w:jc w:val="center"/>
              <w:rPr>
                <w:rFonts w:ascii="Times New Roman" w:eastAsia="Times New Roman" w:hAnsi="Times New Roman" w:cs="Times New Roman"/>
                <w:bCs w:val="0"/>
                <w:color w:val="auto"/>
                <w:sz w:val="20"/>
                <w:szCs w:val="20"/>
              </w:rPr>
            </w:pPr>
            <w:r w:rsidRPr="00D811E2">
              <w:rPr>
                <w:rFonts w:ascii="Times New Roman" w:eastAsia="Times New Roman" w:hAnsi="Times New Roman" w:cs="Times New Roman"/>
                <w:bCs w:val="0"/>
                <w:color w:val="auto"/>
                <w:sz w:val="20"/>
                <w:szCs w:val="20"/>
              </w:rPr>
              <w:t>IKP pēc izlietojuma 2010. gada cenās</w:t>
            </w:r>
          </w:p>
        </w:tc>
      </w:tr>
      <w:tr w:rsidR="00D811E2" w:rsidRPr="00D811E2" w14:paraId="0D1DD87F" w14:textId="77777777" w:rsidTr="00032492">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3726" w:type="dxa"/>
            <w:shd w:val="clear" w:color="auto" w:fill="FFFFFF" w:themeFill="background1"/>
            <w:hideMark/>
          </w:tcPr>
          <w:p w14:paraId="35CB2299" w14:textId="77777777" w:rsidR="007E51A4" w:rsidRPr="00D811E2" w:rsidRDefault="007E51A4" w:rsidP="007E51A4">
            <w:pPr>
              <w:rPr>
                <w:rFonts w:ascii="Times New Roman" w:eastAsia="Times New Roman" w:hAnsi="Times New Roman" w:cs="Times New Roman"/>
                <w:b w:val="0"/>
                <w:color w:val="auto"/>
                <w:sz w:val="20"/>
                <w:szCs w:val="20"/>
              </w:rPr>
            </w:pPr>
            <w:r w:rsidRPr="00D811E2">
              <w:rPr>
                <w:rFonts w:ascii="Times New Roman" w:eastAsia="Times New Roman" w:hAnsi="Times New Roman" w:cs="Times New Roman"/>
                <w:b w:val="0"/>
                <w:color w:val="auto"/>
                <w:sz w:val="20"/>
                <w:szCs w:val="20"/>
              </w:rPr>
              <w:t>3. Privātais patēriņš</w:t>
            </w:r>
          </w:p>
        </w:tc>
        <w:tc>
          <w:tcPr>
            <w:tcW w:w="952" w:type="dxa"/>
            <w:shd w:val="clear" w:color="auto" w:fill="FFFFFF" w:themeFill="background1"/>
            <w:noWrap/>
            <w:hideMark/>
          </w:tcPr>
          <w:p w14:paraId="4CFB1582" w14:textId="77777777" w:rsidR="007E51A4" w:rsidRPr="00D811E2" w:rsidRDefault="007E51A4" w:rsidP="00A30B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P3</w:t>
            </w:r>
          </w:p>
        </w:tc>
        <w:tc>
          <w:tcPr>
            <w:tcW w:w="1134" w:type="dxa"/>
            <w:shd w:val="clear" w:color="auto" w:fill="FFFFFF" w:themeFill="background1"/>
            <w:noWrap/>
            <w:hideMark/>
          </w:tcPr>
          <w:p w14:paraId="5774F278"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13373,3</w:t>
            </w:r>
          </w:p>
        </w:tc>
        <w:tc>
          <w:tcPr>
            <w:tcW w:w="714" w:type="dxa"/>
            <w:shd w:val="clear" w:color="auto" w:fill="FFFFFF" w:themeFill="background1"/>
            <w:noWrap/>
            <w:hideMark/>
          </w:tcPr>
          <w:p w14:paraId="3C86C20E"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2,3</w:t>
            </w:r>
          </w:p>
        </w:tc>
        <w:tc>
          <w:tcPr>
            <w:tcW w:w="616" w:type="dxa"/>
            <w:shd w:val="clear" w:color="auto" w:fill="FFFFFF" w:themeFill="background1"/>
            <w:noWrap/>
            <w:hideMark/>
          </w:tcPr>
          <w:p w14:paraId="18CF7279"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2,4</w:t>
            </w:r>
          </w:p>
        </w:tc>
        <w:tc>
          <w:tcPr>
            <w:tcW w:w="616" w:type="dxa"/>
            <w:shd w:val="clear" w:color="auto" w:fill="FFFFFF" w:themeFill="background1"/>
            <w:noWrap/>
            <w:hideMark/>
          </w:tcPr>
          <w:p w14:paraId="69674832"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3,1</w:t>
            </w:r>
          </w:p>
        </w:tc>
        <w:tc>
          <w:tcPr>
            <w:tcW w:w="616" w:type="dxa"/>
            <w:shd w:val="clear" w:color="auto" w:fill="FFFFFF" w:themeFill="background1"/>
            <w:noWrap/>
            <w:hideMark/>
          </w:tcPr>
          <w:p w14:paraId="3A49A7DE"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3,8</w:t>
            </w:r>
          </w:p>
        </w:tc>
        <w:tc>
          <w:tcPr>
            <w:tcW w:w="699" w:type="dxa"/>
            <w:shd w:val="clear" w:color="auto" w:fill="FFFFFF" w:themeFill="background1"/>
            <w:noWrap/>
            <w:hideMark/>
          </w:tcPr>
          <w:p w14:paraId="36B9B33C"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3,8</w:t>
            </w:r>
          </w:p>
        </w:tc>
      </w:tr>
      <w:tr w:rsidR="00D811E2" w:rsidRPr="00D811E2" w14:paraId="1A04BD2D" w14:textId="77777777" w:rsidTr="00032492">
        <w:trPr>
          <w:trHeight w:val="209"/>
          <w:jc w:val="center"/>
        </w:trPr>
        <w:tc>
          <w:tcPr>
            <w:cnfStyle w:val="001000000000" w:firstRow="0" w:lastRow="0" w:firstColumn="1" w:lastColumn="0" w:oddVBand="0" w:evenVBand="0" w:oddHBand="0" w:evenHBand="0" w:firstRowFirstColumn="0" w:firstRowLastColumn="0" w:lastRowFirstColumn="0" w:lastRowLastColumn="0"/>
            <w:tcW w:w="3726" w:type="dxa"/>
            <w:shd w:val="clear" w:color="auto" w:fill="DEEAF6" w:themeFill="accent1" w:themeFillTint="33"/>
            <w:hideMark/>
          </w:tcPr>
          <w:p w14:paraId="4D072F7E" w14:textId="77777777" w:rsidR="007E51A4" w:rsidRPr="00D811E2" w:rsidRDefault="007E51A4" w:rsidP="007E51A4">
            <w:pPr>
              <w:rPr>
                <w:rFonts w:ascii="Times New Roman" w:eastAsia="Times New Roman" w:hAnsi="Times New Roman" w:cs="Times New Roman"/>
                <w:b w:val="0"/>
                <w:color w:val="auto"/>
                <w:sz w:val="20"/>
                <w:szCs w:val="20"/>
              </w:rPr>
            </w:pPr>
            <w:r w:rsidRPr="00D811E2">
              <w:rPr>
                <w:rFonts w:ascii="Times New Roman" w:eastAsia="Times New Roman" w:hAnsi="Times New Roman" w:cs="Times New Roman"/>
                <w:b w:val="0"/>
                <w:color w:val="auto"/>
                <w:sz w:val="20"/>
                <w:szCs w:val="20"/>
              </w:rPr>
              <w:t>4. Sabiedriskais patēriņš</w:t>
            </w:r>
          </w:p>
        </w:tc>
        <w:tc>
          <w:tcPr>
            <w:tcW w:w="952" w:type="dxa"/>
            <w:shd w:val="clear" w:color="auto" w:fill="DEEAF6" w:themeFill="accent1" w:themeFillTint="33"/>
            <w:noWrap/>
            <w:hideMark/>
          </w:tcPr>
          <w:p w14:paraId="27B5C6D2" w14:textId="77777777" w:rsidR="007E51A4" w:rsidRPr="00D811E2" w:rsidRDefault="007E51A4" w:rsidP="00A30B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P3</w:t>
            </w:r>
          </w:p>
        </w:tc>
        <w:tc>
          <w:tcPr>
            <w:tcW w:w="1134" w:type="dxa"/>
            <w:shd w:val="clear" w:color="auto" w:fill="DEEAF6" w:themeFill="accent1" w:themeFillTint="33"/>
            <w:noWrap/>
            <w:hideMark/>
          </w:tcPr>
          <w:p w14:paraId="03993C29"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3637,9</w:t>
            </w:r>
          </w:p>
        </w:tc>
        <w:tc>
          <w:tcPr>
            <w:tcW w:w="714" w:type="dxa"/>
            <w:shd w:val="clear" w:color="auto" w:fill="DEEAF6" w:themeFill="accent1" w:themeFillTint="33"/>
            <w:noWrap/>
            <w:hideMark/>
          </w:tcPr>
          <w:p w14:paraId="28A5AA84"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3,6</w:t>
            </w:r>
          </w:p>
        </w:tc>
        <w:tc>
          <w:tcPr>
            <w:tcW w:w="616" w:type="dxa"/>
            <w:shd w:val="clear" w:color="auto" w:fill="DEEAF6" w:themeFill="accent1" w:themeFillTint="33"/>
            <w:noWrap/>
            <w:hideMark/>
          </w:tcPr>
          <w:p w14:paraId="768B5793"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2,8</w:t>
            </w:r>
          </w:p>
        </w:tc>
        <w:tc>
          <w:tcPr>
            <w:tcW w:w="616" w:type="dxa"/>
            <w:shd w:val="clear" w:color="auto" w:fill="DEEAF6" w:themeFill="accent1" w:themeFillTint="33"/>
            <w:noWrap/>
            <w:hideMark/>
          </w:tcPr>
          <w:p w14:paraId="5AABA97F"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2,8</w:t>
            </w:r>
          </w:p>
        </w:tc>
        <w:tc>
          <w:tcPr>
            <w:tcW w:w="616" w:type="dxa"/>
            <w:shd w:val="clear" w:color="auto" w:fill="DEEAF6" w:themeFill="accent1" w:themeFillTint="33"/>
            <w:noWrap/>
            <w:hideMark/>
          </w:tcPr>
          <w:p w14:paraId="06925A29"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2,8</w:t>
            </w:r>
          </w:p>
        </w:tc>
        <w:tc>
          <w:tcPr>
            <w:tcW w:w="699" w:type="dxa"/>
            <w:shd w:val="clear" w:color="auto" w:fill="DEEAF6" w:themeFill="accent1" w:themeFillTint="33"/>
            <w:noWrap/>
            <w:hideMark/>
          </w:tcPr>
          <w:p w14:paraId="37999563"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2,8</w:t>
            </w:r>
          </w:p>
        </w:tc>
      </w:tr>
      <w:tr w:rsidR="00D811E2" w:rsidRPr="00D811E2" w14:paraId="037A2C3A" w14:textId="77777777" w:rsidTr="0003249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726" w:type="dxa"/>
            <w:shd w:val="clear" w:color="auto" w:fill="FFFFFF" w:themeFill="background1"/>
            <w:hideMark/>
          </w:tcPr>
          <w:p w14:paraId="42DA2264" w14:textId="77777777" w:rsidR="007E51A4" w:rsidRPr="00D811E2" w:rsidRDefault="007E51A4" w:rsidP="007E51A4">
            <w:pPr>
              <w:rPr>
                <w:rFonts w:ascii="Times New Roman" w:eastAsia="Times New Roman" w:hAnsi="Times New Roman" w:cs="Times New Roman"/>
                <w:b w:val="0"/>
                <w:color w:val="auto"/>
                <w:sz w:val="20"/>
                <w:szCs w:val="20"/>
              </w:rPr>
            </w:pPr>
            <w:r w:rsidRPr="00D811E2">
              <w:rPr>
                <w:rFonts w:ascii="Times New Roman" w:eastAsia="Times New Roman" w:hAnsi="Times New Roman" w:cs="Times New Roman"/>
                <w:b w:val="0"/>
                <w:color w:val="auto"/>
                <w:sz w:val="20"/>
                <w:szCs w:val="20"/>
              </w:rPr>
              <w:t>5. Kopējā pamatkapitālā veidošana</w:t>
            </w:r>
          </w:p>
        </w:tc>
        <w:tc>
          <w:tcPr>
            <w:tcW w:w="952" w:type="dxa"/>
            <w:shd w:val="clear" w:color="auto" w:fill="FFFFFF" w:themeFill="background1"/>
            <w:noWrap/>
            <w:hideMark/>
          </w:tcPr>
          <w:p w14:paraId="45663543" w14:textId="77777777" w:rsidR="007E51A4" w:rsidRPr="00D811E2" w:rsidRDefault="007E51A4" w:rsidP="00A30B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P51</w:t>
            </w:r>
          </w:p>
        </w:tc>
        <w:tc>
          <w:tcPr>
            <w:tcW w:w="1134" w:type="dxa"/>
            <w:shd w:val="clear" w:color="auto" w:fill="FFFFFF" w:themeFill="background1"/>
            <w:noWrap/>
            <w:hideMark/>
          </w:tcPr>
          <w:p w14:paraId="7D162A7F"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4751,4</w:t>
            </w:r>
          </w:p>
        </w:tc>
        <w:tc>
          <w:tcPr>
            <w:tcW w:w="714" w:type="dxa"/>
            <w:shd w:val="clear" w:color="auto" w:fill="FFFFFF" w:themeFill="background1"/>
            <w:noWrap/>
            <w:hideMark/>
          </w:tcPr>
          <w:p w14:paraId="56693E33"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1,6</w:t>
            </w:r>
          </w:p>
        </w:tc>
        <w:tc>
          <w:tcPr>
            <w:tcW w:w="616" w:type="dxa"/>
            <w:shd w:val="clear" w:color="auto" w:fill="FFFFFF" w:themeFill="background1"/>
            <w:noWrap/>
            <w:hideMark/>
          </w:tcPr>
          <w:p w14:paraId="1E84124E"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-1,5</w:t>
            </w:r>
          </w:p>
        </w:tc>
        <w:tc>
          <w:tcPr>
            <w:tcW w:w="616" w:type="dxa"/>
            <w:shd w:val="clear" w:color="auto" w:fill="FFFFFF" w:themeFill="background1"/>
            <w:noWrap/>
            <w:hideMark/>
          </w:tcPr>
          <w:p w14:paraId="4BBF03C4"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3,5</w:t>
            </w:r>
          </w:p>
        </w:tc>
        <w:tc>
          <w:tcPr>
            <w:tcW w:w="616" w:type="dxa"/>
            <w:shd w:val="clear" w:color="auto" w:fill="FFFFFF" w:themeFill="background1"/>
            <w:noWrap/>
            <w:hideMark/>
          </w:tcPr>
          <w:p w14:paraId="7A005057"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4,1</w:t>
            </w:r>
          </w:p>
        </w:tc>
        <w:tc>
          <w:tcPr>
            <w:tcW w:w="699" w:type="dxa"/>
            <w:shd w:val="clear" w:color="auto" w:fill="FFFFFF" w:themeFill="background1"/>
            <w:noWrap/>
            <w:hideMark/>
          </w:tcPr>
          <w:p w14:paraId="79170726"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4,5</w:t>
            </w:r>
          </w:p>
        </w:tc>
      </w:tr>
      <w:tr w:rsidR="00D811E2" w:rsidRPr="00D811E2" w14:paraId="4837BEF1" w14:textId="77777777" w:rsidTr="00032492">
        <w:trPr>
          <w:trHeight w:val="248"/>
          <w:jc w:val="center"/>
        </w:trPr>
        <w:tc>
          <w:tcPr>
            <w:cnfStyle w:val="001000000000" w:firstRow="0" w:lastRow="0" w:firstColumn="1" w:lastColumn="0" w:oddVBand="0" w:evenVBand="0" w:oddHBand="0" w:evenHBand="0" w:firstRowFirstColumn="0" w:firstRowLastColumn="0" w:lastRowFirstColumn="0" w:lastRowLastColumn="0"/>
            <w:tcW w:w="3726" w:type="dxa"/>
            <w:shd w:val="clear" w:color="auto" w:fill="DEEAF6" w:themeFill="accent1" w:themeFillTint="33"/>
            <w:hideMark/>
          </w:tcPr>
          <w:p w14:paraId="00FF6472" w14:textId="77777777" w:rsidR="007E51A4" w:rsidRPr="00D811E2" w:rsidRDefault="007E51A4" w:rsidP="007E51A4">
            <w:pPr>
              <w:rPr>
                <w:rFonts w:ascii="Times New Roman" w:eastAsia="Times New Roman" w:hAnsi="Times New Roman" w:cs="Times New Roman"/>
                <w:b w:val="0"/>
                <w:color w:val="auto"/>
                <w:sz w:val="20"/>
                <w:szCs w:val="20"/>
              </w:rPr>
            </w:pPr>
            <w:r w:rsidRPr="00D811E2">
              <w:rPr>
                <w:rFonts w:ascii="Times New Roman" w:eastAsia="Times New Roman" w:hAnsi="Times New Roman" w:cs="Times New Roman"/>
                <w:b w:val="0"/>
                <w:color w:val="auto"/>
                <w:sz w:val="20"/>
                <w:szCs w:val="20"/>
              </w:rPr>
              <w:t>6. Krājumu pārmaiņas un vērtslietu iegāde</w:t>
            </w:r>
          </w:p>
        </w:tc>
        <w:tc>
          <w:tcPr>
            <w:tcW w:w="952" w:type="dxa"/>
            <w:shd w:val="clear" w:color="auto" w:fill="DEEAF6" w:themeFill="accent1" w:themeFillTint="33"/>
            <w:noWrap/>
            <w:hideMark/>
          </w:tcPr>
          <w:p w14:paraId="60BD25CE" w14:textId="77777777" w:rsidR="007E51A4" w:rsidRPr="00D811E2" w:rsidRDefault="007E51A4" w:rsidP="00A30B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P52+P53</w:t>
            </w:r>
          </w:p>
        </w:tc>
        <w:tc>
          <w:tcPr>
            <w:tcW w:w="1134" w:type="dxa"/>
            <w:shd w:val="clear" w:color="auto" w:fill="DEEAF6" w:themeFill="accent1" w:themeFillTint="33"/>
            <w:noWrap/>
            <w:hideMark/>
          </w:tcPr>
          <w:p w14:paraId="5360391C"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 </w:t>
            </w:r>
          </w:p>
        </w:tc>
        <w:tc>
          <w:tcPr>
            <w:tcW w:w="714" w:type="dxa"/>
            <w:shd w:val="clear" w:color="auto" w:fill="DEEAF6" w:themeFill="accent1" w:themeFillTint="33"/>
            <w:noWrap/>
            <w:hideMark/>
          </w:tcPr>
          <w:p w14:paraId="2D7BD458"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-25,9</w:t>
            </w:r>
          </w:p>
        </w:tc>
        <w:tc>
          <w:tcPr>
            <w:tcW w:w="616" w:type="dxa"/>
            <w:shd w:val="clear" w:color="auto" w:fill="DEEAF6" w:themeFill="accent1" w:themeFillTint="33"/>
            <w:noWrap/>
            <w:hideMark/>
          </w:tcPr>
          <w:p w14:paraId="028E0066"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-0,4</w:t>
            </w:r>
          </w:p>
        </w:tc>
        <w:tc>
          <w:tcPr>
            <w:tcW w:w="616" w:type="dxa"/>
            <w:shd w:val="clear" w:color="auto" w:fill="DEEAF6" w:themeFill="accent1" w:themeFillTint="33"/>
            <w:noWrap/>
            <w:hideMark/>
          </w:tcPr>
          <w:p w14:paraId="1CB20706"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0,8</w:t>
            </w:r>
          </w:p>
        </w:tc>
        <w:tc>
          <w:tcPr>
            <w:tcW w:w="616" w:type="dxa"/>
            <w:shd w:val="clear" w:color="auto" w:fill="DEEAF6" w:themeFill="accent1" w:themeFillTint="33"/>
            <w:noWrap/>
            <w:hideMark/>
          </w:tcPr>
          <w:p w14:paraId="74C42CF9" w14:textId="04C67075"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1,0</w:t>
            </w:r>
          </w:p>
        </w:tc>
        <w:tc>
          <w:tcPr>
            <w:tcW w:w="699" w:type="dxa"/>
            <w:shd w:val="clear" w:color="auto" w:fill="DEEAF6" w:themeFill="accent1" w:themeFillTint="33"/>
            <w:noWrap/>
            <w:hideMark/>
          </w:tcPr>
          <w:p w14:paraId="24FE3B5A"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1,1</w:t>
            </w:r>
          </w:p>
        </w:tc>
      </w:tr>
      <w:tr w:rsidR="00D811E2" w:rsidRPr="00D811E2" w14:paraId="6658AE1A" w14:textId="77777777" w:rsidTr="00032492">
        <w:trPr>
          <w:cnfStyle w:val="000000100000" w:firstRow="0" w:lastRow="0" w:firstColumn="0" w:lastColumn="0" w:oddVBand="0" w:evenVBand="0" w:oddHBand="1" w:evenHBand="0"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3726" w:type="dxa"/>
            <w:shd w:val="clear" w:color="auto" w:fill="FFFFFF" w:themeFill="background1"/>
            <w:hideMark/>
          </w:tcPr>
          <w:p w14:paraId="1DA4F5D3" w14:textId="77777777" w:rsidR="007E51A4" w:rsidRPr="00D811E2" w:rsidRDefault="007E51A4" w:rsidP="007E51A4">
            <w:pPr>
              <w:rPr>
                <w:rFonts w:ascii="Times New Roman" w:eastAsia="Times New Roman" w:hAnsi="Times New Roman" w:cs="Times New Roman"/>
                <w:b w:val="0"/>
                <w:color w:val="auto"/>
                <w:sz w:val="20"/>
                <w:szCs w:val="20"/>
              </w:rPr>
            </w:pPr>
            <w:r w:rsidRPr="00D811E2">
              <w:rPr>
                <w:rFonts w:ascii="Times New Roman" w:eastAsia="Times New Roman" w:hAnsi="Times New Roman" w:cs="Times New Roman"/>
                <w:b w:val="0"/>
                <w:color w:val="auto"/>
                <w:sz w:val="20"/>
                <w:szCs w:val="20"/>
              </w:rPr>
              <w:t>7. Eksports</w:t>
            </w:r>
          </w:p>
        </w:tc>
        <w:tc>
          <w:tcPr>
            <w:tcW w:w="952" w:type="dxa"/>
            <w:shd w:val="clear" w:color="auto" w:fill="FFFFFF" w:themeFill="background1"/>
            <w:noWrap/>
            <w:hideMark/>
          </w:tcPr>
          <w:p w14:paraId="5C77640F" w14:textId="77777777" w:rsidR="007E51A4" w:rsidRPr="00D811E2" w:rsidRDefault="007E51A4" w:rsidP="00A30B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P6</w:t>
            </w:r>
          </w:p>
        </w:tc>
        <w:tc>
          <w:tcPr>
            <w:tcW w:w="1134" w:type="dxa"/>
            <w:shd w:val="clear" w:color="auto" w:fill="FFFFFF" w:themeFill="background1"/>
            <w:noWrap/>
            <w:hideMark/>
          </w:tcPr>
          <w:p w14:paraId="6B468D6E"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12242,2</w:t>
            </w:r>
          </w:p>
        </w:tc>
        <w:tc>
          <w:tcPr>
            <w:tcW w:w="714" w:type="dxa"/>
            <w:shd w:val="clear" w:color="auto" w:fill="FFFFFF" w:themeFill="background1"/>
            <w:noWrap/>
            <w:hideMark/>
          </w:tcPr>
          <w:p w14:paraId="0CACAA14"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1,9</w:t>
            </w:r>
          </w:p>
        </w:tc>
        <w:tc>
          <w:tcPr>
            <w:tcW w:w="616" w:type="dxa"/>
            <w:shd w:val="clear" w:color="auto" w:fill="FFFFFF" w:themeFill="background1"/>
            <w:noWrap/>
            <w:hideMark/>
          </w:tcPr>
          <w:p w14:paraId="57057125"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0,8</w:t>
            </w:r>
          </w:p>
        </w:tc>
        <w:tc>
          <w:tcPr>
            <w:tcW w:w="616" w:type="dxa"/>
            <w:shd w:val="clear" w:color="auto" w:fill="FFFFFF" w:themeFill="background1"/>
            <w:noWrap/>
            <w:hideMark/>
          </w:tcPr>
          <w:p w14:paraId="06D274E8" w14:textId="4BD4DC3F"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4,0</w:t>
            </w:r>
          </w:p>
        </w:tc>
        <w:tc>
          <w:tcPr>
            <w:tcW w:w="616" w:type="dxa"/>
            <w:shd w:val="clear" w:color="auto" w:fill="FFFFFF" w:themeFill="background1"/>
            <w:noWrap/>
            <w:hideMark/>
          </w:tcPr>
          <w:p w14:paraId="52DBA14D"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4,5</w:t>
            </w:r>
          </w:p>
        </w:tc>
        <w:tc>
          <w:tcPr>
            <w:tcW w:w="699" w:type="dxa"/>
            <w:shd w:val="clear" w:color="auto" w:fill="FFFFFF" w:themeFill="background1"/>
            <w:noWrap/>
            <w:hideMark/>
          </w:tcPr>
          <w:p w14:paraId="4EC7E994" w14:textId="40122904"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5,0</w:t>
            </w:r>
          </w:p>
        </w:tc>
      </w:tr>
      <w:tr w:rsidR="00D811E2" w:rsidRPr="00D811E2" w14:paraId="549D31CD" w14:textId="77777777" w:rsidTr="00032492">
        <w:trPr>
          <w:trHeight w:val="201"/>
          <w:jc w:val="center"/>
        </w:trPr>
        <w:tc>
          <w:tcPr>
            <w:cnfStyle w:val="001000000000" w:firstRow="0" w:lastRow="0" w:firstColumn="1" w:lastColumn="0" w:oddVBand="0" w:evenVBand="0" w:oddHBand="0" w:evenHBand="0" w:firstRowFirstColumn="0" w:firstRowLastColumn="0" w:lastRowFirstColumn="0" w:lastRowLastColumn="0"/>
            <w:tcW w:w="3726" w:type="dxa"/>
            <w:shd w:val="clear" w:color="auto" w:fill="DEEAF6" w:themeFill="accent1" w:themeFillTint="33"/>
            <w:hideMark/>
          </w:tcPr>
          <w:p w14:paraId="731C0564" w14:textId="77777777" w:rsidR="007E51A4" w:rsidRPr="00D811E2" w:rsidRDefault="007E51A4" w:rsidP="007E51A4">
            <w:pPr>
              <w:rPr>
                <w:rFonts w:ascii="Times New Roman" w:eastAsia="Times New Roman" w:hAnsi="Times New Roman" w:cs="Times New Roman"/>
                <w:b w:val="0"/>
                <w:color w:val="auto"/>
                <w:sz w:val="20"/>
                <w:szCs w:val="20"/>
              </w:rPr>
            </w:pPr>
            <w:r w:rsidRPr="00D811E2">
              <w:rPr>
                <w:rFonts w:ascii="Times New Roman" w:eastAsia="Times New Roman" w:hAnsi="Times New Roman" w:cs="Times New Roman"/>
                <w:b w:val="0"/>
                <w:color w:val="auto"/>
                <w:sz w:val="20"/>
                <w:szCs w:val="20"/>
              </w:rPr>
              <w:t>8. Imports</w:t>
            </w:r>
          </w:p>
        </w:tc>
        <w:tc>
          <w:tcPr>
            <w:tcW w:w="952" w:type="dxa"/>
            <w:shd w:val="clear" w:color="auto" w:fill="DEEAF6" w:themeFill="accent1" w:themeFillTint="33"/>
            <w:noWrap/>
            <w:hideMark/>
          </w:tcPr>
          <w:p w14:paraId="1507C764" w14:textId="77777777" w:rsidR="007E51A4" w:rsidRPr="00D811E2" w:rsidRDefault="007E51A4" w:rsidP="00A30B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P7</w:t>
            </w:r>
          </w:p>
        </w:tc>
        <w:tc>
          <w:tcPr>
            <w:tcW w:w="1134" w:type="dxa"/>
            <w:shd w:val="clear" w:color="auto" w:fill="DEEAF6" w:themeFill="accent1" w:themeFillTint="33"/>
            <w:noWrap/>
            <w:hideMark/>
          </w:tcPr>
          <w:p w14:paraId="6678F6C1" w14:textId="64DE2424"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12882,0</w:t>
            </w:r>
          </w:p>
        </w:tc>
        <w:tc>
          <w:tcPr>
            <w:tcW w:w="714" w:type="dxa"/>
            <w:shd w:val="clear" w:color="auto" w:fill="DEEAF6" w:themeFill="accent1" w:themeFillTint="33"/>
            <w:noWrap/>
            <w:hideMark/>
          </w:tcPr>
          <w:p w14:paraId="499F497E"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1,5</w:t>
            </w:r>
          </w:p>
        </w:tc>
        <w:tc>
          <w:tcPr>
            <w:tcW w:w="616" w:type="dxa"/>
            <w:shd w:val="clear" w:color="auto" w:fill="DEEAF6" w:themeFill="accent1" w:themeFillTint="33"/>
            <w:noWrap/>
            <w:hideMark/>
          </w:tcPr>
          <w:p w14:paraId="7ED33884" w14:textId="13BC46E9"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0,0</w:t>
            </w:r>
          </w:p>
        </w:tc>
        <w:tc>
          <w:tcPr>
            <w:tcW w:w="616" w:type="dxa"/>
            <w:shd w:val="clear" w:color="auto" w:fill="DEEAF6" w:themeFill="accent1" w:themeFillTint="33"/>
            <w:noWrap/>
            <w:hideMark/>
          </w:tcPr>
          <w:p w14:paraId="082C26AE"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4,2</w:t>
            </w:r>
          </w:p>
        </w:tc>
        <w:tc>
          <w:tcPr>
            <w:tcW w:w="616" w:type="dxa"/>
            <w:shd w:val="clear" w:color="auto" w:fill="DEEAF6" w:themeFill="accent1" w:themeFillTint="33"/>
            <w:noWrap/>
            <w:hideMark/>
          </w:tcPr>
          <w:p w14:paraId="20D4851B"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4,6</w:t>
            </w:r>
          </w:p>
        </w:tc>
        <w:tc>
          <w:tcPr>
            <w:tcW w:w="699" w:type="dxa"/>
            <w:shd w:val="clear" w:color="auto" w:fill="DEEAF6" w:themeFill="accent1" w:themeFillTint="33"/>
            <w:noWrap/>
            <w:hideMark/>
          </w:tcPr>
          <w:p w14:paraId="14031083"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5,3</w:t>
            </w:r>
          </w:p>
        </w:tc>
      </w:tr>
      <w:tr w:rsidR="00D811E2" w:rsidRPr="00D811E2" w14:paraId="010585A3" w14:textId="77777777" w:rsidTr="00032492">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9073" w:type="dxa"/>
            <w:gridSpan w:val="8"/>
            <w:shd w:val="clear" w:color="auto" w:fill="FFFFFF" w:themeFill="background1"/>
            <w:noWrap/>
            <w:hideMark/>
          </w:tcPr>
          <w:p w14:paraId="2D8C78DD" w14:textId="77777777" w:rsidR="007E51A4" w:rsidRPr="00D811E2" w:rsidRDefault="007E51A4" w:rsidP="007E51A4">
            <w:pPr>
              <w:jc w:val="center"/>
              <w:rPr>
                <w:rFonts w:ascii="Times New Roman" w:eastAsia="Times New Roman" w:hAnsi="Times New Roman" w:cs="Times New Roman"/>
                <w:bCs w:val="0"/>
                <w:color w:val="auto"/>
                <w:sz w:val="20"/>
                <w:szCs w:val="20"/>
              </w:rPr>
            </w:pPr>
            <w:r w:rsidRPr="00D811E2">
              <w:rPr>
                <w:rFonts w:ascii="Times New Roman" w:eastAsia="Times New Roman" w:hAnsi="Times New Roman" w:cs="Times New Roman"/>
                <w:bCs w:val="0"/>
                <w:color w:val="auto"/>
                <w:sz w:val="20"/>
                <w:szCs w:val="20"/>
              </w:rPr>
              <w:t>Ieguldījums IKP izaugsmē</w:t>
            </w:r>
          </w:p>
        </w:tc>
      </w:tr>
      <w:tr w:rsidR="00D811E2" w:rsidRPr="00D811E2" w14:paraId="57FBB960" w14:textId="77777777" w:rsidTr="00032492">
        <w:trPr>
          <w:trHeight w:val="149"/>
          <w:jc w:val="center"/>
        </w:trPr>
        <w:tc>
          <w:tcPr>
            <w:cnfStyle w:val="001000000000" w:firstRow="0" w:lastRow="0" w:firstColumn="1" w:lastColumn="0" w:oddVBand="0" w:evenVBand="0" w:oddHBand="0" w:evenHBand="0" w:firstRowFirstColumn="0" w:firstRowLastColumn="0" w:lastRowFirstColumn="0" w:lastRowLastColumn="0"/>
            <w:tcW w:w="3726" w:type="dxa"/>
            <w:shd w:val="clear" w:color="auto" w:fill="DEEAF6" w:themeFill="accent1" w:themeFillTint="33"/>
            <w:hideMark/>
          </w:tcPr>
          <w:p w14:paraId="4BE47F67" w14:textId="77777777" w:rsidR="007E51A4" w:rsidRPr="00D811E2" w:rsidRDefault="007E51A4" w:rsidP="007E51A4">
            <w:pPr>
              <w:rPr>
                <w:rFonts w:ascii="Times New Roman" w:eastAsia="Times New Roman" w:hAnsi="Times New Roman" w:cs="Times New Roman"/>
                <w:b w:val="0"/>
                <w:color w:val="auto"/>
                <w:sz w:val="20"/>
                <w:szCs w:val="20"/>
              </w:rPr>
            </w:pPr>
            <w:r w:rsidRPr="00D811E2">
              <w:rPr>
                <w:rFonts w:ascii="Times New Roman" w:eastAsia="Times New Roman" w:hAnsi="Times New Roman" w:cs="Times New Roman"/>
                <w:b w:val="0"/>
                <w:color w:val="auto"/>
                <w:sz w:val="20"/>
                <w:szCs w:val="20"/>
              </w:rPr>
              <w:t>9. Kopējais iekšzemes pieprasījums</w:t>
            </w:r>
          </w:p>
        </w:tc>
        <w:tc>
          <w:tcPr>
            <w:tcW w:w="952" w:type="dxa"/>
            <w:shd w:val="clear" w:color="auto" w:fill="DEEAF6" w:themeFill="accent1" w:themeFillTint="33"/>
            <w:noWrap/>
            <w:hideMark/>
          </w:tcPr>
          <w:p w14:paraId="17F86D4F" w14:textId="77777777" w:rsidR="007E51A4" w:rsidRPr="00D811E2" w:rsidRDefault="007E51A4" w:rsidP="00A30B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 </w:t>
            </w:r>
          </w:p>
        </w:tc>
        <w:tc>
          <w:tcPr>
            <w:tcW w:w="1134" w:type="dxa"/>
            <w:shd w:val="clear" w:color="auto" w:fill="DEEAF6" w:themeFill="accent1" w:themeFillTint="33"/>
            <w:noWrap/>
            <w:hideMark/>
          </w:tcPr>
          <w:p w14:paraId="30863B4E" w14:textId="77777777" w:rsidR="007E51A4" w:rsidRPr="00D811E2" w:rsidRDefault="007E51A4" w:rsidP="007E51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 </w:t>
            </w:r>
          </w:p>
        </w:tc>
        <w:tc>
          <w:tcPr>
            <w:tcW w:w="714" w:type="dxa"/>
            <w:shd w:val="clear" w:color="auto" w:fill="DEEAF6" w:themeFill="accent1" w:themeFillTint="33"/>
            <w:noWrap/>
            <w:hideMark/>
          </w:tcPr>
          <w:p w14:paraId="289DDD61"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2,4</w:t>
            </w:r>
          </w:p>
        </w:tc>
        <w:tc>
          <w:tcPr>
            <w:tcW w:w="616" w:type="dxa"/>
            <w:shd w:val="clear" w:color="auto" w:fill="DEEAF6" w:themeFill="accent1" w:themeFillTint="33"/>
            <w:noWrap/>
            <w:hideMark/>
          </w:tcPr>
          <w:p w14:paraId="4B429500"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1,6</w:t>
            </w:r>
          </w:p>
        </w:tc>
        <w:tc>
          <w:tcPr>
            <w:tcW w:w="616" w:type="dxa"/>
            <w:shd w:val="clear" w:color="auto" w:fill="DEEAF6" w:themeFill="accent1" w:themeFillTint="33"/>
            <w:noWrap/>
            <w:hideMark/>
          </w:tcPr>
          <w:p w14:paraId="545AF4C5"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3,2</w:t>
            </w:r>
          </w:p>
        </w:tc>
        <w:tc>
          <w:tcPr>
            <w:tcW w:w="616" w:type="dxa"/>
            <w:shd w:val="clear" w:color="auto" w:fill="DEEAF6" w:themeFill="accent1" w:themeFillTint="33"/>
            <w:noWrap/>
            <w:hideMark/>
          </w:tcPr>
          <w:p w14:paraId="406D0641"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3,7</w:t>
            </w:r>
          </w:p>
        </w:tc>
        <w:tc>
          <w:tcPr>
            <w:tcW w:w="699" w:type="dxa"/>
            <w:shd w:val="clear" w:color="auto" w:fill="DEEAF6" w:themeFill="accent1" w:themeFillTint="33"/>
            <w:noWrap/>
            <w:hideMark/>
          </w:tcPr>
          <w:p w14:paraId="3195B98A"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3,8</w:t>
            </w:r>
          </w:p>
        </w:tc>
      </w:tr>
      <w:tr w:rsidR="00D811E2" w:rsidRPr="00D811E2" w14:paraId="70F51E7F" w14:textId="77777777" w:rsidTr="00032492">
        <w:trPr>
          <w:cnfStyle w:val="000000100000" w:firstRow="0" w:lastRow="0" w:firstColumn="0" w:lastColumn="0" w:oddVBand="0" w:evenVBand="0" w:oddHBand="1" w:evenHBand="0"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3726" w:type="dxa"/>
            <w:shd w:val="clear" w:color="auto" w:fill="FFFFFF" w:themeFill="background1"/>
            <w:hideMark/>
          </w:tcPr>
          <w:p w14:paraId="6F037455" w14:textId="77777777" w:rsidR="007E51A4" w:rsidRPr="00D811E2" w:rsidRDefault="007E51A4" w:rsidP="007E51A4">
            <w:pPr>
              <w:rPr>
                <w:rFonts w:ascii="Times New Roman" w:eastAsia="Times New Roman" w:hAnsi="Times New Roman" w:cs="Times New Roman"/>
                <w:b w:val="0"/>
                <w:color w:val="auto"/>
                <w:sz w:val="20"/>
                <w:szCs w:val="20"/>
              </w:rPr>
            </w:pPr>
            <w:r w:rsidRPr="00D811E2">
              <w:rPr>
                <w:rFonts w:ascii="Times New Roman" w:eastAsia="Times New Roman" w:hAnsi="Times New Roman" w:cs="Times New Roman"/>
                <w:b w:val="0"/>
                <w:color w:val="auto"/>
                <w:sz w:val="20"/>
                <w:szCs w:val="20"/>
              </w:rPr>
              <w:t xml:space="preserve">10. Krājumu pārmaiņas un vērtslietu iegāde </w:t>
            </w:r>
          </w:p>
        </w:tc>
        <w:tc>
          <w:tcPr>
            <w:tcW w:w="952" w:type="dxa"/>
            <w:shd w:val="clear" w:color="auto" w:fill="FFFFFF" w:themeFill="background1"/>
            <w:noWrap/>
            <w:hideMark/>
          </w:tcPr>
          <w:p w14:paraId="7292E6A0" w14:textId="77777777" w:rsidR="007E51A4" w:rsidRPr="00D811E2" w:rsidRDefault="007E51A4" w:rsidP="00A30B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P52+P53</w:t>
            </w:r>
          </w:p>
        </w:tc>
        <w:tc>
          <w:tcPr>
            <w:tcW w:w="1134" w:type="dxa"/>
            <w:shd w:val="clear" w:color="auto" w:fill="FFFFFF" w:themeFill="background1"/>
            <w:noWrap/>
            <w:hideMark/>
          </w:tcPr>
          <w:p w14:paraId="08A66ACF" w14:textId="77777777" w:rsidR="007E51A4" w:rsidRPr="00D811E2" w:rsidRDefault="007E51A4" w:rsidP="007E51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 </w:t>
            </w:r>
          </w:p>
        </w:tc>
        <w:tc>
          <w:tcPr>
            <w:tcW w:w="714" w:type="dxa"/>
            <w:shd w:val="clear" w:color="auto" w:fill="FFFFFF" w:themeFill="background1"/>
            <w:noWrap/>
            <w:hideMark/>
          </w:tcPr>
          <w:p w14:paraId="735C4337" w14:textId="77777777"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-0,3</w:t>
            </w:r>
          </w:p>
        </w:tc>
        <w:tc>
          <w:tcPr>
            <w:tcW w:w="616" w:type="dxa"/>
            <w:shd w:val="clear" w:color="auto" w:fill="FFFFFF" w:themeFill="background1"/>
            <w:noWrap/>
            <w:hideMark/>
          </w:tcPr>
          <w:p w14:paraId="358B81C7" w14:textId="38F924EC"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0,0</w:t>
            </w:r>
          </w:p>
        </w:tc>
        <w:tc>
          <w:tcPr>
            <w:tcW w:w="616" w:type="dxa"/>
            <w:shd w:val="clear" w:color="auto" w:fill="FFFFFF" w:themeFill="background1"/>
            <w:noWrap/>
            <w:hideMark/>
          </w:tcPr>
          <w:p w14:paraId="43FE7F3E" w14:textId="490A4820"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0,0</w:t>
            </w:r>
          </w:p>
        </w:tc>
        <w:tc>
          <w:tcPr>
            <w:tcW w:w="616" w:type="dxa"/>
            <w:shd w:val="clear" w:color="auto" w:fill="FFFFFF" w:themeFill="background1"/>
            <w:noWrap/>
            <w:hideMark/>
          </w:tcPr>
          <w:p w14:paraId="15644019" w14:textId="2A7DDE06"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0,0</w:t>
            </w:r>
          </w:p>
        </w:tc>
        <w:tc>
          <w:tcPr>
            <w:tcW w:w="699" w:type="dxa"/>
            <w:shd w:val="clear" w:color="auto" w:fill="FFFFFF" w:themeFill="background1"/>
            <w:noWrap/>
            <w:hideMark/>
          </w:tcPr>
          <w:p w14:paraId="41FBB900" w14:textId="39BB6352" w:rsidR="007E51A4" w:rsidRPr="00D811E2" w:rsidRDefault="007E51A4" w:rsidP="00A30B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0,0</w:t>
            </w:r>
          </w:p>
        </w:tc>
      </w:tr>
      <w:tr w:rsidR="00D811E2" w:rsidRPr="00D811E2" w14:paraId="1235AF50" w14:textId="77777777" w:rsidTr="00032492">
        <w:trPr>
          <w:trHeight w:val="345"/>
          <w:jc w:val="center"/>
        </w:trPr>
        <w:tc>
          <w:tcPr>
            <w:cnfStyle w:val="001000000000" w:firstRow="0" w:lastRow="0" w:firstColumn="1" w:lastColumn="0" w:oddVBand="0" w:evenVBand="0" w:oddHBand="0" w:evenHBand="0" w:firstRowFirstColumn="0" w:firstRowLastColumn="0" w:lastRowFirstColumn="0" w:lastRowLastColumn="0"/>
            <w:tcW w:w="3726" w:type="dxa"/>
            <w:shd w:val="clear" w:color="auto" w:fill="DEEAF6" w:themeFill="accent1" w:themeFillTint="33"/>
            <w:hideMark/>
          </w:tcPr>
          <w:p w14:paraId="069FE4C1" w14:textId="77777777" w:rsidR="007E51A4" w:rsidRPr="00D811E2" w:rsidRDefault="007E51A4" w:rsidP="007E51A4">
            <w:pPr>
              <w:rPr>
                <w:rFonts w:ascii="Times New Roman" w:eastAsia="Times New Roman" w:hAnsi="Times New Roman" w:cs="Times New Roman"/>
                <w:b w:val="0"/>
                <w:color w:val="auto"/>
                <w:sz w:val="20"/>
                <w:szCs w:val="20"/>
              </w:rPr>
            </w:pPr>
            <w:r w:rsidRPr="00D811E2">
              <w:rPr>
                <w:rFonts w:ascii="Times New Roman" w:eastAsia="Times New Roman" w:hAnsi="Times New Roman" w:cs="Times New Roman"/>
                <w:b w:val="0"/>
                <w:color w:val="auto"/>
                <w:sz w:val="20"/>
                <w:szCs w:val="20"/>
              </w:rPr>
              <w:t>11. Preču un pakalpojumu ārējā sektora bilance</w:t>
            </w:r>
          </w:p>
        </w:tc>
        <w:tc>
          <w:tcPr>
            <w:tcW w:w="952" w:type="dxa"/>
            <w:shd w:val="clear" w:color="auto" w:fill="DEEAF6" w:themeFill="accent1" w:themeFillTint="33"/>
            <w:noWrap/>
            <w:hideMark/>
          </w:tcPr>
          <w:p w14:paraId="3F1761E8" w14:textId="77777777" w:rsidR="007E51A4" w:rsidRPr="00D811E2" w:rsidRDefault="007E51A4" w:rsidP="00A30B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B11</w:t>
            </w:r>
          </w:p>
        </w:tc>
        <w:tc>
          <w:tcPr>
            <w:tcW w:w="1134" w:type="dxa"/>
            <w:shd w:val="clear" w:color="auto" w:fill="DEEAF6" w:themeFill="accent1" w:themeFillTint="33"/>
            <w:noWrap/>
            <w:hideMark/>
          </w:tcPr>
          <w:p w14:paraId="7F13D80B" w14:textId="77777777" w:rsidR="007E51A4" w:rsidRPr="00D811E2" w:rsidRDefault="007E51A4" w:rsidP="007E51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 </w:t>
            </w:r>
          </w:p>
        </w:tc>
        <w:tc>
          <w:tcPr>
            <w:tcW w:w="714" w:type="dxa"/>
            <w:shd w:val="clear" w:color="auto" w:fill="DEEAF6" w:themeFill="accent1" w:themeFillTint="33"/>
            <w:noWrap/>
            <w:hideMark/>
          </w:tcPr>
          <w:p w14:paraId="37542B3D"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0,2</w:t>
            </w:r>
          </w:p>
        </w:tc>
        <w:tc>
          <w:tcPr>
            <w:tcW w:w="616" w:type="dxa"/>
            <w:shd w:val="clear" w:color="auto" w:fill="DEEAF6" w:themeFill="accent1" w:themeFillTint="33"/>
            <w:noWrap/>
            <w:hideMark/>
          </w:tcPr>
          <w:p w14:paraId="330B85C6"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0,5</w:t>
            </w:r>
          </w:p>
        </w:tc>
        <w:tc>
          <w:tcPr>
            <w:tcW w:w="616" w:type="dxa"/>
            <w:shd w:val="clear" w:color="auto" w:fill="DEEAF6" w:themeFill="accent1" w:themeFillTint="33"/>
            <w:noWrap/>
            <w:hideMark/>
          </w:tcPr>
          <w:p w14:paraId="5C17C2C3"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-0,2</w:t>
            </w:r>
          </w:p>
        </w:tc>
        <w:tc>
          <w:tcPr>
            <w:tcW w:w="616" w:type="dxa"/>
            <w:shd w:val="clear" w:color="auto" w:fill="DEEAF6" w:themeFill="accent1" w:themeFillTint="33"/>
            <w:noWrap/>
            <w:hideMark/>
          </w:tcPr>
          <w:p w14:paraId="169797C5"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-0,2</w:t>
            </w:r>
          </w:p>
        </w:tc>
        <w:tc>
          <w:tcPr>
            <w:tcW w:w="699" w:type="dxa"/>
            <w:shd w:val="clear" w:color="auto" w:fill="DEEAF6" w:themeFill="accent1" w:themeFillTint="33"/>
            <w:noWrap/>
            <w:hideMark/>
          </w:tcPr>
          <w:p w14:paraId="50A62DBE" w14:textId="77777777" w:rsidR="007E51A4" w:rsidRPr="00D811E2" w:rsidRDefault="007E51A4" w:rsidP="00A30B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D811E2">
              <w:rPr>
                <w:rFonts w:ascii="Times New Roman" w:eastAsia="Times New Roman" w:hAnsi="Times New Roman" w:cs="Times New Roman"/>
                <w:color w:val="auto"/>
                <w:sz w:val="20"/>
                <w:szCs w:val="20"/>
              </w:rPr>
              <w:t>-0,3</w:t>
            </w:r>
          </w:p>
        </w:tc>
      </w:tr>
    </w:tbl>
    <w:p w14:paraId="7C9E5831" w14:textId="02E744C7" w:rsidR="00A02E4F" w:rsidRPr="00A02E4F" w:rsidRDefault="00A02E4F" w:rsidP="00A8142A">
      <w:pPr>
        <w:pStyle w:val="Default"/>
        <w:spacing w:before="240" w:after="60"/>
        <w:ind w:firstLine="720"/>
        <w:jc w:val="both"/>
        <w:rPr>
          <w:szCs w:val="23"/>
        </w:rPr>
      </w:pPr>
      <w:r w:rsidRPr="00A02E4F">
        <w:rPr>
          <w:szCs w:val="23"/>
        </w:rPr>
        <w:t>Privātā patēriņa attīstība vidējā termiņā būs cieši saistīta ar norisēm darba tirgū, kur turpmākajos gados salīdzinājumā ar 2014.gadu gaidāms mērenāks algu kāpums. Tāpat vidējā termiņā nav sagaidāms arī tik straujš nodarbinātības pieaugums kā la</w:t>
      </w:r>
      <w:r w:rsidR="00A8142A">
        <w:rPr>
          <w:szCs w:val="23"/>
        </w:rPr>
        <w:t>ika periodā no 2011. līdz 2013.</w:t>
      </w:r>
      <w:r w:rsidRPr="00A02E4F">
        <w:rPr>
          <w:szCs w:val="23"/>
        </w:rPr>
        <w:t xml:space="preserve">gadam, tādēļ privātā patēriņa attīstību noteiks produktivitātes pieaugums. </w:t>
      </w:r>
    </w:p>
    <w:p w14:paraId="61AA53F9" w14:textId="77777777" w:rsidR="00A02E4F" w:rsidRPr="00A02E4F" w:rsidRDefault="00A02E4F" w:rsidP="00A02E4F">
      <w:pPr>
        <w:pStyle w:val="Default"/>
        <w:spacing w:after="60"/>
        <w:ind w:firstLine="720"/>
        <w:jc w:val="both"/>
        <w:rPr>
          <w:szCs w:val="23"/>
        </w:rPr>
      </w:pPr>
      <w:r w:rsidRPr="00A02E4F">
        <w:rPr>
          <w:szCs w:val="23"/>
        </w:rPr>
        <w:t>Papildus iedzīvotāju ieņēmumu dinamikai būtiski faktori, kas var ietekmēt privātā patēriņā attīstību, ir tendences kreditēšanā un patērētāju noskaņojuma izmaiņas. Izstrādājot prognozes tika pieņemts, ka tuvākajos gados komercbanku kreditēšanas politika saglabāsies piesardzīga. Sagaidāms, ka mājsaimniecību saistību apjoms varētu pakāpeniski stabilizēties, bet tā straujš pieaugums nav gaidāms. Tāpat scenārija ietvaros netiek gaidītas būtiskas izmaiņas patērētāju noskaņojumā, kas varētu ietekmēt iedzīvotāju uzkrājumu līmeni. Tādējādi privātā patēriņa izaugsmes temps vidējā termiņā būs salīdzinoši tuvs vispārējam ekonomikas attīstības tempam.</w:t>
      </w:r>
    </w:p>
    <w:p w14:paraId="5E64612E" w14:textId="540078EC" w:rsidR="00A02E4F" w:rsidRPr="00A02E4F" w:rsidRDefault="00A02E4F" w:rsidP="00A02E4F">
      <w:pPr>
        <w:pStyle w:val="Default"/>
        <w:spacing w:after="60"/>
        <w:ind w:firstLine="720"/>
        <w:jc w:val="both"/>
        <w:rPr>
          <w:szCs w:val="23"/>
        </w:rPr>
      </w:pPr>
      <w:r w:rsidRPr="00A02E4F">
        <w:rPr>
          <w:szCs w:val="23"/>
        </w:rPr>
        <w:t xml:space="preserve">Investīciju aktivitāti turpinās kavēt ģeopolitiskā nenoteiktība, ekonomiskās situācijas pasliktināšanās Krievijā un neskaidrās attīstības perspektīvas </w:t>
      </w:r>
      <w:r w:rsidR="00AF0874">
        <w:rPr>
          <w:i/>
          <w:szCs w:val="23"/>
        </w:rPr>
        <w:t>euro</w:t>
      </w:r>
      <w:r w:rsidR="00AF0874">
        <w:rPr>
          <w:szCs w:val="23"/>
        </w:rPr>
        <w:t xml:space="preserve"> </w:t>
      </w:r>
      <w:r w:rsidRPr="00A02E4F">
        <w:rPr>
          <w:szCs w:val="23"/>
        </w:rPr>
        <w:t>zonā. Krievijas un ES savstarpējās sankcijas ietekmē investīcijas ne tikai sankciju skartajās nozarēs, bet arī citos ekonomikas sektoros, jo nevar izslēgt situācijas turpmāku eskalāciju, kā arī jaunu sankciju ieviešanu.</w:t>
      </w:r>
    </w:p>
    <w:p w14:paraId="4BF106DD" w14:textId="0193FD2C" w:rsidR="00A02E4F" w:rsidRDefault="00A02E4F" w:rsidP="00A02E4F">
      <w:pPr>
        <w:pStyle w:val="Default"/>
        <w:spacing w:after="60"/>
        <w:ind w:firstLine="720"/>
        <w:jc w:val="both"/>
        <w:rPr>
          <w:szCs w:val="23"/>
        </w:rPr>
      </w:pPr>
      <w:r w:rsidRPr="00A02E4F">
        <w:rPr>
          <w:szCs w:val="23"/>
        </w:rPr>
        <w:t xml:space="preserve">Ārējās nenoteiktības iespaidā uzņēmēji un investori ir kļuvuši piesardzīgāki attiecībā </w:t>
      </w:r>
      <w:r w:rsidR="003D38BE">
        <w:rPr>
          <w:szCs w:val="23"/>
        </w:rPr>
        <w:t>uz</w:t>
      </w:r>
      <w:r w:rsidRPr="00A02E4F">
        <w:rPr>
          <w:szCs w:val="23"/>
        </w:rPr>
        <w:t xml:space="preserve"> jaunu investīciju projektu uzsākšanu, tādēļ stra</w:t>
      </w:r>
      <w:r w:rsidR="00AF0874">
        <w:rPr>
          <w:szCs w:val="23"/>
        </w:rPr>
        <w:t>ujš investīciju pieaugums 2015.</w:t>
      </w:r>
      <w:r w:rsidRPr="00A02E4F">
        <w:rPr>
          <w:szCs w:val="23"/>
        </w:rPr>
        <w:t>gadā nav gaidāms. Tomēr pakāpeniska ārējās vides uzlabošanās un pašreizējie vēsturiski ļoti augstie jaudas noslodzes rādītāji apstrādes rūpniecībā ļauj prognozēt investīciju pieauguma tem</w:t>
      </w:r>
      <w:r w:rsidR="00AF0874">
        <w:rPr>
          <w:szCs w:val="23"/>
        </w:rPr>
        <w:t>pu palielināšanos 2016. – 2018.</w:t>
      </w:r>
      <w:r w:rsidRPr="00A02E4F">
        <w:rPr>
          <w:szCs w:val="23"/>
        </w:rPr>
        <w:t>gadā, kad investīciju pieaugums varētu pārsniegt kopējos ekonomikas attīstības tempus. Jāatzīmē, ka ilgstoši zems investīciju līmenis rada papildus riskus izaugsmei, jo tiek mazināts ekonomikas izaugsmes potenciāls.</w:t>
      </w:r>
    </w:p>
    <w:p w14:paraId="05FB3834" w14:textId="77777777" w:rsidR="00AF0874" w:rsidRDefault="00AF0874" w:rsidP="00A02E4F">
      <w:pPr>
        <w:pStyle w:val="H4"/>
        <w:spacing w:before="0"/>
        <w:jc w:val="both"/>
        <w:rPr>
          <w:rFonts w:ascii="Times New Roman" w:hAnsi="Times New Roman"/>
          <w:b w:val="0"/>
          <w:color w:val="000000"/>
          <w:sz w:val="24"/>
          <w:szCs w:val="23"/>
          <w:lang w:eastAsia="lv-LV"/>
        </w:rPr>
      </w:pPr>
    </w:p>
    <w:p w14:paraId="5A7C9D12" w14:textId="77777777" w:rsidR="00A02E4F" w:rsidRPr="0010281A" w:rsidRDefault="00A02E4F" w:rsidP="00AF0874">
      <w:pPr>
        <w:pStyle w:val="H4"/>
        <w:spacing w:before="0"/>
        <w:ind w:firstLine="153"/>
        <w:jc w:val="both"/>
        <w:rPr>
          <w:rFonts w:ascii="Times New Roman" w:hAnsi="Times New Roman"/>
          <w:sz w:val="24"/>
          <w:szCs w:val="24"/>
        </w:rPr>
      </w:pPr>
      <w:r w:rsidRPr="0010281A">
        <w:rPr>
          <w:rFonts w:ascii="Times New Roman" w:hAnsi="Times New Roman"/>
          <w:sz w:val="24"/>
          <w:szCs w:val="24"/>
        </w:rPr>
        <w:t>Ārējā sektora attīstības tendences un scenārijs</w:t>
      </w:r>
    </w:p>
    <w:p w14:paraId="79A29BF8" w14:textId="50E52939" w:rsidR="00A02E4F" w:rsidRPr="00A02E4F" w:rsidRDefault="00A02E4F" w:rsidP="00A02E4F">
      <w:pPr>
        <w:pStyle w:val="Default"/>
        <w:spacing w:after="60"/>
        <w:ind w:firstLine="720"/>
        <w:jc w:val="both"/>
        <w:rPr>
          <w:szCs w:val="23"/>
        </w:rPr>
      </w:pPr>
      <w:r w:rsidRPr="00A02E4F">
        <w:rPr>
          <w:szCs w:val="23"/>
        </w:rPr>
        <w:t>Pēdējā gada ģeopolitisko satricinājumu negatīvo ietekmi diezgan spilgti var novērot maksājumu bilances statistikā. Jau vairākus gadus tekošajā kont</w:t>
      </w:r>
      <w:r w:rsidR="00AF0874">
        <w:rPr>
          <w:szCs w:val="23"/>
        </w:rPr>
        <w:t>ā vērojams deficīts, taču 2014.</w:t>
      </w:r>
      <w:r w:rsidRPr="00A02E4F">
        <w:rPr>
          <w:szCs w:val="23"/>
        </w:rPr>
        <w:t xml:space="preserve">gadā pirmo reizi pēckrīzes periodā tekošā konta deficītu nespēja nosegt Latvijā ienākošās </w:t>
      </w:r>
      <w:r w:rsidR="004E0D45">
        <w:rPr>
          <w:szCs w:val="23"/>
        </w:rPr>
        <w:t>ĀTI</w:t>
      </w:r>
      <w:r w:rsidRPr="00A02E4F">
        <w:rPr>
          <w:szCs w:val="23"/>
        </w:rPr>
        <w:t>, kuru apjoms bija pat vairāk nekā uz pusi mazāks nekā deficīts. Nedaudz samazinoties rezidentu uzņēmumu gūtajiem ienākumiem ārvalstīs, mazākas ES fondu līdzekļu ieplūdes un lie</w:t>
      </w:r>
      <w:r w:rsidR="00AF0874">
        <w:rPr>
          <w:szCs w:val="23"/>
        </w:rPr>
        <w:t>lākas iemaksas ES budžetā 2014.</w:t>
      </w:r>
      <w:r w:rsidRPr="00A02E4F">
        <w:rPr>
          <w:szCs w:val="23"/>
        </w:rPr>
        <w:t xml:space="preserve">gadā rezultējās maksājumu bilances tekošā </w:t>
      </w:r>
      <w:r w:rsidRPr="00A02E4F">
        <w:rPr>
          <w:szCs w:val="23"/>
        </w:rPr>
        <w:lastRenderedPageBreak/>
        <w:t xml:space="preserve">konta deficīta pieaugumā līdz 749,1 milj. </w:t>
      </w:r>
      <w:r w:rsidR="00AF0874">
        <w:rPr>
          <w:i/>
          <w:szCs w:val="23"/>
        </w:rPr>
        <w:t>euro</w:t>
      </w:r>
      <w:r w:rsidR="00AF0874">
        <w:rPr>
          <w:szCs w:val="23"/>
        </w:rPr>
        <w:t xml:space="preserve"> </w:t>
      </w:r>
      <w:r w:rsidRPr="00A02E4F">
        <w:rPr>
          <w:szCs w:val="23"/>
        </w:rPr>
        <w:t>jeb 3,1% no IKP. Neskatoties uz to, ka deficīts pieaug, tekošā konta trīs gadu vidējais līmenis (-2,9% no IKP) nepārsniedz ES agrās brīdināšanas mehānismā noteikto slieksni (-4% no IKP) un ir vērtējams kā ilgtspējīgs.</w:t>
      </w:r>
    </w:p>
    <w:p w14:paraId="6E467087" w14:textId="77777777" w:rsidR="00A02E4F" w:rsidRPr="00AF38C3" w:rsidRDefault="00A02E4F" w:rsidP="00AF0874">
      <w:pPr>
        <w:keepNext/>
        <w:spacing w:line="276" w:lineRule="auto"/>
        <w:jc w:val="center"/>
      </w:pPr>
      <w:r w:rsidRPr="00AF38C3">
        <w:rPr>
          <w:noProof/>
          <w:lang w:eastAsia="lv-LV"/>
        </w:rPr>
        <w:drawing>
          <wp:inline distT="0" distB="0" distL="0" distR="0" wp14:anchorId="4D8387CC" wp14:editId="22D364F3">
            <wp:extent cx="5106009" cy="2896820"/>
            <wp:effectExtent l="0" t="0" r="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57D991" w14:textId="5DE82285" w:rsidR="00A02E4F" w:rsidRPr="00A02E4F" w:rsidRDefault="00AF0874" w:rsidP="004C6CC5">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r w:rsidR="00A02E4F" w:rsidRPr="00A02E4F">
        <w:rPr>
          <w:rFonts w:ascii="Times New Roman" w:hAnsi="Times New Roman" w:cs="Times New Roman"/>
          <w:b/>
          <w:color w:val="000000" w:themeColor="text1"/>
          <w:sz w:val="24"/>
          <w:szCs w:val="24"/>
        </w:rPr>
        <w:t xml:space="preserve">.attēls. Latvijas maksājumu bilances tekošais konts (milj. </w:t>
      </w:r>
      <w:r w:rsidR="004E0D45">
        <w:rPr>
          <w:rFonts w:ascii="Times New Roman" w:hAnsi="Times New Roman" w:cs="Times New Roman"/>
          <w:b/>
          <w:i/>
          <w:color w:val="000000" w:themeColor="text1"/>
          <w:sz w:val="24"/>
          <w:szCs w:val="24"/>
        </w:rPr>
        <w:t>euro</w:t>
      </w:r>
      <w:r w:rsidR="00A02E4F" w:rsidRPr="00A02E4F">
        <w:rPr>
          <w:rFonts w:ascii="Times New Roman" w:hAnsi="Times New Roman" w:cs="Times New Roman"/>
          <w:b/>
          <w:color w:val="000000" w:themeColor="text1"/>
          <w:sz w:val="24"/>
          <w:szCs w:val="24"/>
        </w:rPr>
        <w:t xml:space="preserve">) un </w:t>
      </w:r>
      <w:r w:rsidR="004E0D45">
        <w:rPr>
          <w:rFonts w:ascii="Times New Roman" w:hAnsi="Times New Roman" w:cs="Times New Roman"/>
          <w:b/>
          <w:color w:val="000000" w:themeColor="text1"/>
          <w:sz w:val="24"/>
          <w:szCs w:val="24"/>
        </w:rPr>
        <w:t>ĀTI</w:t>
      </w:r>
    </w:p>
    <w:p w14:paraId="08424028" w14:textId="719F9E66" w:rsidR="00A02E4F" w:rsidRPr="00A02E4F" w:rsidRDefault="00AF0874" w:rsidP="00A02E4F">
      <w:pPr>
        <w:pStyle w:val="Default"/>
        <w:spacing w:after="60"/>
        <w:ind w:firstLine="720"/>
        <w:jc w:val="both"/>
        <w:rPr>
          <w:szCs w:val="23"/>
        </w:rPr>
      </w:pPr>
      <w:r>
        <w:rPr>
          <w:szCs w:val="23"/>
        </w:rPr>
        <w:t>Kopš 2011.</w:t>
      </w:r>
      <w:r w:rsidR="00A02E4F" w:rsidRPr="00A02E4F">
        <w:rPr>
          <w:szCs w:val="23"/>
        </w:rPr>
        <w:t>gada, kad Latvijas ekonomika atgriezās pie izaugsmes, galvenās izmaiņas tekošajā kontā noteica preču un pakalpojumu ārējās tird</w:t>
      </w:r>
      <w:r>
        <w:rPr>
          <w:szCs w:val="23"/>
        </w:rPr>
        <w:t>zniecības attīstība, taču 2014.</w:t>
      </w:r>
      <w:r w:rsidR="00A02E4F" w:rsidRPr="00A02E4F">
        <w:rPr>
          <w:szCs w:val="23"/>
        </w:rPr>
        <w:t xml:space="preserve">gadā būtiskas izmaiņas vērojamas arī ienākumu kontos. Būtiskākais faktors sākotnējo ienākumu konta deficīta pieaugumā saistīts ar mazākām ES fondu līdzekļu ieplūdēm. Sākotnējo ienākumu kontu negatīvi ietekmēja arī ārējās ekonomiskās vides pasliktināšanās un vājā izaugsme </w:t>
      </w:r>
      <w:r>
        <w:rPr>
          <w:i/>
          <w:szCs w:val="23"/>
        </w:rPr>
        <w:t>euro</w:t>
      </w:r>
      <w:r>
        <w:rPr>
          <w:szCs w:val="23"/>
        </w:rPr>
        <w:t xml:space="preserve"> </w:t>
      </w:r>
      <w:r w:rsidR="00A02E4F" w:rsidRPr="00A02E4F">
        <w:rPr>
          <w:szCs w:val="23"/>
        </w:rPr>
        <w:t xml:space="preserve">zonā, kā rezultātā </w:t>
      </w:r>
      <w:r w:rsidR="003D38BE">
        <w:rPr>
          <w:szCs w:val="23"/>
        </w:rPr>
        <w:t>samazinājās</w:t>
      </w:r>
      <w:r w:rsidR="00A02E4F" w:rsidRPr="00A02E4F">
        <w:rPr>
          <w:szCs w:val="23"/>
        </w:rPr>
        <w:t xml:space="preserve"> Latvijas rezidentu ienākumi ārvalstīs.</w:t>
      </w:r>
    </w:p>
    <w:p w14:paraId="70A40603" w14:textId="77777777" w:rsidR="00A02E4F" w:rsidRPr="00A02E4F" w:rsidRDefault="00A02E4F" w:rsidP="00A02E4F">
      <w:pPr>
        <w:pStyle w:val="Default"/>
        <w:spacing w:after="60"/>
        <w:ind w:firstLine="720"/>
        <w:jc w:val="both"/>
        <w:rPr>
          <w:szCs w:val="23"/>
        </w:rPr>
      </w:pPr>
      <w:r w:rsidRPr="00A02E4F">
        <w:rPr>
          <w:szCs w:val="23"/>
        </w:rPr>
        <w:t>Jāatzīmē, ka ES fondu līdzekļi sadalās starp vairākiem maksājumu bilances kontiem, tāpēc otrreizējo ienākumu konta pārpalikuma samazināšanās skaidrojama arī ar ES fondu līdzekļu sarukumu. Papildus tam otrreizējo ienākumu konta bilanci pasliktināja arī pieaugušās iemaksas ES budžetā salīdzinājumā ar iepriekšējo gadu.</w:t>
      </w:r>
      <w:r w:rsidR="003D38BE" w:rsidRPr="003D38BE">
        <w:t xml:space="preserve"> </w:t>
      </w:r>
      <w:r w:rsidR="003D38BE">
        <w:t>Tajā pašā laikā, neskatoties uz ES fondu līdzekļu kopējo apjomu sarukumu, kapitāla kontā vērojama pretēja situācija. Saņemtie līdzekļi tieši no ERAF un Kohēzija fonda veicināja kapitāla konta pozitīvo saldo pieaugumu.</w:t>
      </w:r>
    </w:p>
    <w:p w14:paraId="5F8785DE" w14:textId="1445DB88" w:rsidR="00A02E4F" w:rsidRPr="00A02E4F" w:rsidRDefault="00A02E4F" w:rsidP="00A02E4F">
      <w:pPr>
        <w:pStyle w:val="Default"/>
        <w:spacing w:after="60"/>
        <w:ind w:firstLine="720"/>
        <w:jc w:val="both"/>
        <w:rPr>
          <w:szCs w:val="23"/>
        </w:rPr>
      </w:pPr>
      <w:r w:rsidRPr="00A02E4F">
        <w:rPr>
          <w:szCs w:val="23"/>
        </w:rPr>
        <w:t xml:space="preserve">Neskatoties uz straujo Krievijas rubļa devalvāciju un </w:t>
      </w:r>
      <w:r w:rsidR="00AF0874">
        <w:rPr>
          <w:i/>
          <w:szCs w:val="23"/>
        </w:rPr>
        <w:t>euro</w:t>
      </w:r>
      <w:r w:rsidR="00AF0874">
        <w:rPr>
          <w:szCs w:val="23"/>
        </w:rPr>
        <w:t xml:space="preserve"> </w:t>
      </w:r>
      <w:r w:rsidRPr="00A02E4F">
        <w:rPr>
          <w:szCs w:val="23"/>
        </w:rPr>
        <w:t>zonas valstu vājo ekonomisko attīstību</w:t>
      </w:r>
      <w:r w:rsidR="00AF0874">
        <w:rPr>
          <w:szCs w:val="23"/>
        </w:rPr>
        <w:t>, Latvijas preču eksports 2014.</w:t>
      </w:r>
      <w:r w:rsidRPr="00A02E4F">
        <w:rPr>
          <w:szCs w:val="23"/>
        </w:rPr>
        <w:t xml:space="preserve">gadā palielinājies </w:t>
      </w:r>
      <w:r w:rsidR="00AF0874">
        <w:rPr>
          <w:szCs w:val="23"/>
        </w:rPr>
        <w:t>par 2,1% salīdzinājumā ar 2013.</w:t>
      </w:r>
      <w:r w:rsidRPr="00A02E4F">
        <w:rPr>
          <w:szCs w:val="23"/>
        </w:rPr>
        <w:t>gadu. Noturīgs iekšzemes pieprasījums, galvenokārt ne-</w:t>
      </w:r>
      <w:r w:rsidR="00AF0874">
        <w:rPr>
          <w:i/>
          <w:szCs w:val="23"/>
        </w:rPr>
        <w:t>euro</w:t>
      </w:r>
      <w:r w:rsidR="00AF0874">
        <w:rPr>
          <w:szCs w:val="23"/>
        </w:rPr>
        <w:t xml:space="preserve"> </w:t>
      </w:r>
      <w:r w:rsidRPr="00A02E4F">
        <w:rPr>
          <w:szCs w:val="23"/>
        </w:rPr>
        <w:t>zonas valstīs - Lielbritānijā, Zviedrijā, Lietuvā, ļāva kompensēt preč</w:t>
      </w:r>
      <w:r w:rsidR="003D38BE">
        <w:rPr>
          <w:szCs w:val="23"/>
        </w:rPr>
        <w:t>u eksporta kritumu uz Krieviju.</w:t>
      </w:r>
    </w:p>
    <w:p w14:paraId="6D277B53" w14:textId="02DCA8E9" w:rsidR="00A02E4F" w:rsidRPr="00A02E4F" w:rsidRDefault="00AF0874" w:rsidP="00A02E4F">
      <w:pPr>
        <w:pStyle w:val="Default"/>
        <w:spacing w:after="60"/>
        <w:ind w:firstLine="720"/>
        <w:jc w:val="both"/>
        <w:rPr>
          <w:szCs w:val="23"/>
        </w:rPr>
      </w:pPr>
      <w:r>
        <w:rPr>
          <w:i/>
          <w:szCs w:val="23"/>
        </w:rPr>
        <w:t>Euro</w:t>
      </w:r>
      <w:r>
        <w:rPr>
          <w:szCs w:val="23"/>
        </w:rPr>
        <w:t xml:space="preserve"> </w:t>
      </w:r>
      <w:r w:rsidR="00A02E4F" w:rsidRPr="00A02E4F">
        <w:rPr>
          <w:szCs w:val="23"/>
        </w:rPr>
        <w:t>vērtības samazinājums pret p</w:t>
      </w:r>
      <w:r>
        <w:rPr>
          <w:szCs w:val="23"/>
        </w:rPr>
        <w:t>asaules vadošajām valūtām 2014.</w:t>
      </w:r>
      <w:r w:rsidR="00A02E4F" w:rsidRPr="00A02E4F">
        <w:rPr>
          <w:szCs w:val="23"/>
        </w:rPr>
        <w:t>gadā otrajā pusē pavisam nedaudz uzlaboja Latvijas preču un pakalpojumu eksporta pozīcijas, padarot to pievilcīgāku cenu ziņā. Pozitīvu tendenci varēja novērot Lielbritānijas un Turcijas tirgū, taču attiecībā pret citiem galvenajiem Latvijas ne-</w:t>
      </w:r>
      <w:r>
        <w:rPr>
          <w:i/>
          <w:szCs w:val="23"/>
        </w:rPr>
        <w:t>euro</w:t>
      </w:r>
      <w:r>
        <w:rPr>
          <w:szCs w:val="23"/>
        </w:rPr>
        <w:t xml:space="preserve"> </w:t>
      </w:r>
      <w:r w:rsidR="00A02E4F" w:rsidRPr="00A02E4F">
        <w:rPr>
          <w:szCs w:val="23"/>
        </w:rPr>
        <w:t xml:space="preserve">zonas tirdzniecības partneriem, piemēram, Poliju, Zviedriju, Krieviju, </w:t>
      </w:r>
      <w:r>
        <w:rPr>
          <w:i/>
          <w:szCs w:val="23"/>
        </w:rPr>
        <w:t>euro</w:t>
      </w:r>
      <w:r>
        <w:rPr>
          <w:szCs w:val="23"/>
        </w:rPr>
        <w:t xml:space="preserve"> </w:t>
      </w:r>
      <w:r w:rsidR="00A02E4F" w:rsidRPr="00A02E4F">
        <w:rPr>
          <w:szCs w:val="23"/>
        </w:rPr>
        <w:t>vērtība vai nu neizmainījās vai, tieši pretēji, kļuva pat stiprāka.</w:t>
      </w:r>
    </w:p>
    <w:p w14:paraId="1EB30BA7" w14:textId="0E2D8D04" w:rsidR="00A02E4F" w:rsidRPr="00A02E4F" w:rsidRDefault="00AF0874" w:rsidP="00A02E4F">
      <w:pPr>
        <w:pStyle w:val="Default"/>
        <w:spacing w:after="60"/>
        <w:ind w:firstLine="720"/>
        <w:jc w:val="both"/>
        <w:rPr>
          <w:szCs w:val="23"/>
        </w:rPr>
      </w:pPr>
      <w:r>
        <w:rPr>
          <w:szCs w:val="23"/>
        </w:rPr>
        <w:t>2015.</w:t>
      </w:r>
      <w:r w:rsidR="00A02E4F" w:rsidRPr="00A02E4F">
        <w:rPr>
          <w:szCs w:val="23"/>
        </w:rPr>
        <w:t xml:space="preserve">gadā eksporta izaugsme būs cieši saistīta ar reģiona ekonomisko un politisko attīstību, kā arī ar Latvijas ražotāju konkurētspējas attīstību un jaunu noieta tirgu atvēršanu. EK ziemas prognozes liecina, ka ekonomiskā izaugsme ES valstīs saglabājas zemā līmenī, tomēr vidējā termiņā gaidāms pakāpenisks ekonomiskās aktivitātes pieaugums. </w:t>
      </w:r>
    </w:p>
    <w:p w14:paraId="55D2B9BE" w14:textId="3FB8670C" w:rsidR="00A02E4F" w:rsidRPr="00A02E4F" w:rsidRDefault="00A02E4F" w:rsidP="00A02E4F">
      <w:pPr>
        <w:pStyle w:val="Default"/>
        <w:spacing w:after="60"/>
        <w:ind w:firstLine="720"/>
        <w:jc w:val="both"/>
        <w:rPr>
          <w:szCs w:val="23"/>
        </w:rPr>
      </w:pPr>
      <w:r w:rsidRPr="00A02E4F">
        <w:rPr>
          <w:szCs w:val="23"/>
        </w:rPr>
        <w:lastRenderedPageBreak/>
        <w:t>Sliktāks attīstības scenārijs ir vērojams austrumu tirgus virzienā. Krievijas sankcijas</w:t>
      </w:r>
      <w:r w:rsidR="00AF0874">
        <w:rPr>
          <w:szCs w:val="23"/>
        </w:rPr>
        <w:t xml:space="preserve"> šobrīd ir noteiktas līdz 2015.</w:t>
      </w:r>
      <w:r w:rsidRPr="00A02E4F">
        <w:rPr>
          <w:szCs w:val="23"/>
        </w:rPr>
        <w:t>gada augustam, kas pilnībā apturējis sankcijām pakļauto preču eksportu uz Krieviju. Tomēr lielāku negatīvu ietekmi uz kopējiem eksporta apjomiem atstās Krievijas rubļa kursa svārstības un Krievijas ekon</w:t>
      </w:r>
      <w:r w:rsidR="00AF0874">
        <w:rPr>
          <w:szCs w:val="23"/>
        </w:rPr>
        <w:t>omikas nonākšana recesijā 2015.</w:t>
      </w:r>
      <w:r w:rsidRPr="00A02E4F">
        <w:rPr>
          <w:szCs w:val="23"/>
        </w:rPr>
        <w:t>gadā. Krievijas ekonomikas lejupslīdes negatīvo ietekmi izjutīs arī pārējās NVS valstis, un tas ietekmēs Latvijas eksporta iespējas uz šīm valstīm</w:t>
      </w:r>
      <w:r w:rsidR="00AF0874">
        <w:rPr>
          <w:szCs w:val="23"/>
        </w:rPr>
        <w:t>. Ņemot vērā šos faktors, 2015.</w:t>
      </w:r>
      <w:r w:rsidRPr="00A02E4F">
        <w:rPr>
          <w:szCs w:val="23"/>
        </w:rPr>
        <w:t>gadā tiek prognozēts preču un pakalpojumu eksporta samazinājums faktiskajās ce</w:t>
      </w:r>
      <w:r w:rsidR="00AF0874">
        <w:rPr>
          <w:szCs w:val="23"/>
        </w:rPr>
        <w:t>nās 0,5% apmērā, savukārt 2016.</w:t>
      </w:r>
      <w:r w:rsidRPr="00A02E4F">
        <w:rPr>
          <w:szCs w:val="23"/>
        </w:rPr>
        <w:t>gadā gaidāms 5% pieaugums.</w:t>
      </w:r>
    </w:p>
    <w:p w14:paraId="102C9115" w14:textId="35D6D895" w:rsidR="00A02E4F" w:rsidRPr="00A02E4F" w:rsidRDefault="00A02E4F" w:rsidP="00A02E4F">
      <w:pPr>
        <w:pStyle w:val="Default"/>
        <w:spacing w:after="60"/>
        <w:ind w:firstLine="720"/>
        <w:jc w:val="both"/>
        <w:rPr>
          <w:szCs w:val="23"/>
        </w:rPr>
      </w:pPr>
      <w:r w:rsidRPr="00A02E4F">
        <w:rPr>
          <w:szCs w:val="23"/>
        </w:rPr>
        <w:t xml:space="preserve">Īstermiņā ārējās vides nenoteiktība, vājā investīciju aktivitāte un zemās naftas produktu cenas mazinās importa apjomus. Tomēr, ņemot vērā augsto jaudu noslodzes līmeni apstrādes rūpniecībā, kā arī augošo iekšējo un ES pieprasījumu, vidējā termiņā tiek prognozēts investīciju pieaugums ražošanas jaudu palielināšanai. Papildus tam pakāpeniski turpinās uzlaboties situācija arī darba tirgū, kas līdz ar zemo inflācijas līmeni noteiks reālās pirktspējas un patēriņa pieaugumu. Patēriņa preces veido aptuveni ceturto daļu no kopējā importa, tādējādi augošs patēriņš stimulēs importa pieaugumu kopumā. Balstoties uz iepriekš minētajiem pieņēmumiem, tiek prognozēts, ka preču un pakalpojumu </w:t>
      </w:r>
      <w:r w:rsidR="00AF0874">
        <w:rPr>
          <w:szCs w:val="23"/>
        </w:rPr>
        <w:t>imports faktiskajās cenās 2015.</w:t>
      </w:r>
      <w:r w:rsidRPr="00A02E4F">
        <w:rPr>
          <w:szCs w:val="23"/>
        </w:rPr>
        <w:t>gadā</w:t>
      </w:r>
      <w:r w:rsidR="00AF0874">
        <w:rPr>
          <w:szCs w:val="23"/>
        </w:rPr>
        <w:t xml:space="preserve"> samazināsies par 2%, bet 2016.</w:t>
      </w:r>
      <w:r w:rsidRPr="00A02E4F">
        <w:rPr>
          <w:szCs w:val="23"/>
        </w:rPr>
        <w:t>gadā palielināsies par 5,2%.</w:t>
      </w:r>
    </w:p>
    <w:p w14:paraId="0E3FA991" w14:textId="77777777" w:rsidR="00AF0874" w:rsidRDefault="00AF0874" w:rsidP="00AF0874">
      <w:pPr>
        <w:pStyle w:val="H4"/>
        <w:spacing w:before="0"/>
        <w:ind w:firstLine="153"/>
        <w:jc w:val="both"/>
        <w:rPr>
          <w:rFonts w:ascii="Times New Roman" w:hAnsi="Times New Roman"/>
          <w:sz w:val="24"/>
          <w:szCs w:val="24"/>
        </w:rPr>
      </w:pPr>
    </w:p>
    <w:p w14:paraId="18C68B0D" w14:textId="77777777" w:rsidR="00A02E4F" w:rsidRPr="0010281A" w:rsidRDefault="00A02E4F" w:rsidP="00AF0874">
      <w:pPr>
        <w:pStyle w:val="H4"/>
        <w:spacing w:before="0"/>
        <w:ind w:firstLine="153"/>
        <w:jc w:val="both"/>
        <w:rPr>
          <w:rFonts w:ascii="Times New Roman" w:hAnsi="Times New Roman"/>
          <w:sz w:val="24"/>
          <w:szCs w:val="24"/>
        </w:rPr>
      </w:pPr>
      <w:r w:rsidRPr="0010281A">
        <w:rPr>
          <w:rFonts w:ascii="Times New Roman" w:hAnsi="Times New Roman"/>
          <w:sz w:val="24"/>
          <w:szCs w:val="24"/>
        </w:rPr>
        <w:t>Inflācija</w:t>
      </w:r>
    </w:p>
    <w:p w14:paraId="13D142F3" w14:textId="349FC4E1" w:rsidR="00A02E4F" w:rsidRPr="00A02E4F" w:rsidRDefault="00AF0874" w:rsidP="00A02E4F">
      <w:pPr>
        <w:pStyle w:val="Default"/>
        <w:spacing w:after="60"/>
        <w:ind w:firstLine="720"/>
        <w:jc w:val="both"/>
        <w:rPr>
          <w:szCs w:val="23"/>
        </w:rPr>
      </w:pPr>
      <w:r>
        <w:rPr>
          <w:szCs w:val="23"/>
        </w:rPr>
        <w:t>Patēriņa cenu izmaiņas 2015.</w:t>
      </w:r>
      <w:r w:rsidR="00A02E4F" w:rsidRPr="00A02E4F">
        <w:rPr>
          <w:szCs w:val="23"/>
        </w:rPr>
        <w:t>gadā n</w:t>
      </w:r>
      <w:r>
        <w:rPr>
          <w:szCs w:val="23"/>
        </w:rPr>
        <w:t>oteiks līdzīgi faktori kā 2014.</w:t>
      </w:r>
      <w:r w:rsidR="00A02E4F" w:rsidRPr="00A02E4F">
        <w:rPr>
          <w:szCs w:val="23"/>
        </w:rPr>
        <w:t>gadā un inflāciju visbūtiskāk ietekmēs ārējie faktori. Patēriņa cenu izma</w:t>
      </w:r>
      <w:r>
        <w:rPr>
          <w:szCs w:val="23"/>
        </w:rPr>
        <w:t>iņas 2015.</w:t>
      </w:r>
      <w:r w:rsidR="00A02E4F" w:rsidRPr="00A02E4F">
        <w:rPr>
          <w:szCs w:val="23"/>
        </w:rPr>
        <w:t>gadā saglabāsies zemā līmenī, un tās ietekmēs pasaules energoresursu un pārtikas cenu samazinājums, kā arī atsevišķi vienreizēji faktori – elektroenerģijas cenu pieaugums saistībā ar elektroenerģijas tirgus liberalizāciju un sabiedriskā transporta cenu pieaugums.</w:t>
      </w:r>
    </w:p>
    <w:p w14:paraId="5E0213DB" w14:textId="77777777" w:rsidR="00A02E4F" w:rsidRDefault="00A02E4F" w:rsidP="00AF0874">
      <w:pPr>
        <w:keepNext/>
        <w:jc w:val="center"/>
      </w:pPr>
      <w:r>
        <w:rPr>
          <w:noProof/>
          <w:lang w:eastAsia="lv-LV"/>
        </w:rPr>
        <w:drawing>
          <wp:inline distT="0" distB="0" distL="0" distR="0" wp14:anchorId="1D6FA6F1" wp14:editId="03A7D5E6">
            <wp:extent cx="5274310" cy="3174797"/>
            <wp:effectExtent l="0" t="0" r="254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C09F83" w14:textId="4C2C55B8" w:rsidR="00A02E4F" w:rsidRPr="0010281A" w:rsidRDefault="00AF0874" w:rsidP="004C6CC5">
      <w:pPr>
        <w:pStyle w:val="Z"/>
        <w:spacing w:before="120"/>
        <w:ind w:left="0" w:right="0"/>
        <w:jc w:val="center"/>
        <w:rPr>
          <w:rFonts w:ascii="Times New Roman" w:hAnsi="Times New Roman"/>
          <w:b/>
          <w:sz w:val="24"/>
          <w:szCs w:val="24"/>
        </w:rPr>
      </w:pPr>
      <w:r>
        <w:rPr>
          <w:rFonts w:ascii="Times New Roman" w:hAnsi="Times New Roman"/>
          <w:b/>
          <w:sz w:val="24"/>
          <w:szCs w:val="24"/>
        </w:rPr>
        <w:t>2.3.</w:t>
      </w:r>
      <w:r w:rsidR="00A02E4F" w:rsidRPr="00DC70E8">
        <w:rPr>
          <w:rFonts w:ascii="Times New Roman" w:hAnsi="Times New Roman"/>
          <w:b/>
          <w:sz w:val="24"/>
          <w:szCs w:val="24"/>
        </w:rPr>
        <w:t>att</w:t>
      </w:r>
      <w:r w:rsidR="00A02E4F">
        <w:rPr>
          <w:rFonts w:ascii="Times New Roman" w:hAnsi="Times New Roman"/>
          <w:b/>
          <w:sz w:val="24"/>
          <w:szCs w:val="24"/>
        </w:rPr>
        <w:t>ēls</w:t>
      </w:r>
      <w:r w:rsidR="00A02E4F" w:rsidRPr="00DC70E8">
        <w:rPr>
          <w:rFonts w:ascii="Times New Roman" w:hAnsi="Times New Roman"/>
          <w:b/>
          <w:sz w:val="24"/>
          <w:szCs w:val="24"/>
        </w:rPr>
        <w:t xml:space="preserve">. Gada inflācija pēc izcelsmes </w:t>
      </w:r>
      <w:r w:rsidR="00A02E4F" w:rsidRPr="00DC70E8">
        <w:rPr>
          <w:rFonts w:ascii="Times New Roman" w:hAnsi="Times New Roman"/>
          <w:b/>
          <w:sz w:val="24"/>
        </w:rPr>
        <w:t>avota</w:t>
      </w:r>
    </w:p>
    <w:p w14:paraId="48B42E18" w14:textId="57C8A8A8" w:rsidR="00A02E4F" w:rsidRPr="00A02E4F" w:rsidRDefault="00A02E4F" w:rsidP="00A02E4F">
      <w:pPr>
        <w:pStyle w:val="Default"/>
        <w:spacing w:after="60"/>
        <w:ind w:firstLine="720"/>
        <w:jc w:val="both"/>
        <w:rPr>
          <w:szCs w:val="23"/>
        </w:rPr>
      </w:pPr>
      <w:r w:rsidRPr="00A02E4F">
        <w:rPr>
          <w:szCs w:val="23"/>
        </w:rPr>
        <w:t xml:space="preserve">Atbilstoši </w:t>
      </w:r>
      <w:r w:rsidR="00AF0874">
        <w:rPr>
          <w:szCs w:val="23"/>
        </w:rPr>
        <w:t>FM prognozēm 2015.</w:t>
      </w:r>
      <w:r w:rsidRPr="00A02E4F">
        <w:rPr>
          <w:szCs w:val="23"/>
        </w:rPr>
        <w:t>gadā patēriņa cenas vidēji palieli</w:t>
      </w:r>
      <w:r w:rsidR="00AF0874">
        <w:rPr>
          <w:szCs w:val="23"/>
        </w:rPr>
        <w:t>nāsies par 0,4%, savukārt 2016.</w:t>
      </w:r>
      <w:r w:rsidRPr="00A02E4F">
        <w:rPr>
          <w:szCs w:val="23"/>
        </w:rPr>
        <w:t>gadā par 1,9%. Straujais e</w:t>
      </w:r>
      <w:r w:rsidR="00AF0874">
        <w:rPr>
          <w:szCs w:val="23"/>
        </w:rPr>
        <w:t>nergoresursu cenu kritums 2014.</w:t>
      </w:r>
      <w:r w:rsidRPr="00A02E4F">
        <w:rPr>
          <w:szCs w:val="23"/>
        </w:rPr>
        <w:t xml:space="preserve">gada nogalē jau ievērojami samazinājis degvielas cenas, tomēr naftas pasaules cenu kritums pilnā apmērā patēriņa </w:t>
      </w:r>
      <w:r w:rsidR="00AF0874">
        <w:rPr>
          <w:szCs w:val="23"/>
        </w:rPr>
        <w:t>cenās atspoguļosies tikai 2015.</w:t>
      </w:r>
      <w:r w:rsidRPr="00A02E4F">
        <w:rPr>
          <w:szCs w:val="23"/>
        </w:rPr>
        <w:t xml:space="preserve">gada otrajā pusē. To noteiks gan novēlota </w:t>
      </w:r>
      <w:r w:rsidRPr="00A02E4F">
        <w:rPr>
          <w:szCs w:val="23"/>
        </w:rPr>
        <w:lastRenderedPageBreak/>
        <w:t>energoresursu cenu krituma atspoguļošanās siltumenerģijas tarifos, gan laiks, kas nepieciešams, lai zemākas ražotāju cenu ietekmētu patēriņa cenas.</w:t>
      </w:r>
    </w:p>
    <w:p w14:paraId="43592FD3" w14:textId="5083D9C2" w:rsidR="00A02E4F" w:rsidRPr="00A02E4F" w:rsidRDefault="00A02E4F" w:rsidP="00A02E4F">
      <w:pPr>
        <w:pStyle w:val="Default"/>
        <w:spacing w:after="60"/>
        <w:ind w:firstLine="720"/>
        <w:jc w:val="both"/>
        <w:rPr>
          <w:szCs w:val="23"/>
        </w:rPr>
      </w:pPr>
      <w:r w:rsidRPr="00A02E4F">
        <w:rPr>
          <w:szCs w:val="23"/>
        </w:rPr>
        <w:t xml:space="preserve">Stabilitātes programmas makroekonomisko rādītāju prognozes veidotas, balstoties uz </w:t>
      </w:r>
      <w:r w:rsidR="00AF0874">
        <w:rPr>
          <w:szCs w:val="23"/>
        </w:rPr>
        <w:t>EK</w:t>
      </w:r>
      <w:r w:rsidRPr="00A02E4F">
        <w:rPr>
          <w:szCs w:val="23"/>
        </w:rPr>
        <w:t xml:space="preserve"> ziemas prognožu tehniskajiem pieņēmumiem, kas paredz naftas cenu pakāpenisku pieaugumu no vidēji 53 USD p</w:t>
      </w:r>
      <w:r w:rsidR="00AF0874">
        <w:rPr>
          <w:szCs w:val="23"/>
        </w:rPr>
        <w:t>ar Brent jēlnaftas barelu 2015.</w:t>
      </w:r>
      <w:r w:rsidRPr="00A02E4F">
        <w:rPr>
          <w:szCs w:val="23"/>
        </w:rPr>
        <w:t>gadā līdz 61,5 nākamgad, savukārt EUR/USD ku</w:t>
      </w:r>
      <w:r w:rsidR="00AF0874">
        <w:rPr>
          <w:szCs w:val="23"/>
        </w:rPr>
        <w:t>rss būs 1,17. Tādējādi ar 2016.</w:t>
      </w:r>
      <w:r w:rsidRPr="00A02E4F">
        <w:rPr>
          <w:szCs w:val="23"/>
        </w:rPr>
        <w:t>gadu enerģijas un pārtikas cenu pieaugums kļūs pozitīvs.</w:t>
      </w:r>
    </w:p>
    <w:p w14:paraId="4F8C9B13" w14:textId="77777777" w:rsidR="00A02E4F" w:rsidRPr="00A02E4F" w:rsidRDefault="00A02E4F" w:rsidP="00A02E4F">
      <w:pPr>
        <w:pStyle w:val="Default"/>
        <w:spacing w:after="60"/>
        <w:ind w:firstLine="720"/>
        <w:jc w:val="both"/>
        <w:rPr>
          <w:szCs w:val="23"/>
        </w:rPr>
      </w:pPr>
      <w:r w:rsidRPr="00A02E4F">
        <w:rPr>
          <w:szCs w:val="23"/>
        </w:rPr>
        <w:t xml:space="preserve">Saskaņā ar AS “Latvijas Gāze” noslēgto līgumu, dabasgāzes iepirkuma cena no Krievijas un dabasgāzes tarifi Latvijā ir atkarīgi no naftas produktu (mazuta un dīzeļdegvielas) cenām pasaules biržās, kas tiek rēķināta atbilstoši iepriekšējo 9 mēnešu mazuta un dīzeļdegvielas kotācijai. Tādējādi naftas cenām saglabājoties pašreizējā līmenī vai pat nedaudz palielinoties, siltumenerģijas cenas Latvijā turpinās samazināties līdz šā gada otrajai pusei. </w:t>
      </w:r>
    </w:p>
    <w:p w14:paraId="6026178B" w14:textId="72173435" w:rsidR="00A02E4F" w:rsidRPr="00A02E4F" w:rsidRDefault="00AF0874" w:rsidP="00A02E4F">
      <w:pPr>
        <w:pStyle w:val="Default"/>
        <w:spacing w:after="60"/>
        <w:ind w:firstLine="720"/>
        <w:jc w:val="both"/>
        <w:rPr>
          <w:szCs w:val="23"/>
        </w:rPr>
      </w:pPr>
      <w:r>
        <w:rPr>
          <w:szCs w:val="23"/>
        </w:rPr>
        <w:t>Inflāciju 2015.</w:t>
      </w:r>
      <w:r w:rsidR="00A02E4F" w:rsidRPr="00A02E4F">
        <w:rPr>
          <w:szCs w:val="23"/>
        </w:rPr>
        <w:t>gadā ietekmēs arī elektroenerģijas tirgus liberalizā</w:t>
      </w:r>
      <w:r>
        <w:rPr>
          <w:szCs w:val="23"/>
        </w:rPr>
        <w:t>cija, kas stājās spēkā ar 2015.gada 1.</w:t>
      </w:r>
      <w:r w:rsidR="00A02E4F" w:rsidRPr="00A02E4F">
        <w:rPr>
          <w:szCs w:val="23"/>
        </w:rPr>
        <w:t xml:space="preserve">janvāri un inflāciju palielināja par 0,88 </w:t>
      </w:r>
      <w:r>
        <w:rPr>
          <w:szCs w:val="23"/>
        </w:rPr>
        <w:t>procentpunktiem. Tāpat ar 2015.gada 1.</w:t>
      </w:r>
      <w:r w:rsidR="00A02E4F" w:rsidRPr="00A02E4F">
        <w:rPr>
          <w:szCs w:val="23"/>
        </w:rPr>
        <w:t xml:space="preserve">februāri palielināta braukšanas maksa Rīgas sabiedriskajā transportā, kas vidējo cenu līmeni palielināja par aptuveni 0,2 procentpunktiem. Savukārt turpmākajos gados straujas pārtikas vai naftas cenu izmaiņas netiek prognozētas, tādēļ patēriņa cenu pieaugumu noteiks pamatinflācija. </w:t>
      </w:r>
    </w:p>
    <w:p w14:paraId="30622210" w14:textId="35588A0C" w:rsidR="00A02E4F" w:rsidRPr="00A02E4F" w:rsidRDefault="00A02E4F" w:rsidP="00A02E4F">
      <w:pPr>
        <w:pStyle w:val="Default"/>
        <w:spacing w:after="60"/>
        <w:ind w:firstLine="720"/>
        <w:jc w:val="both"/>
        <w:rPr>
          <w:szCs w:val="23"/>
        </w:rPr>
      </w:pPr>
      <w:r w:rsidRPr="00A02E4F">
        <w:rPr>
          <w:szCs w:val="23"/>
        </w:rPr>
        <w:t>Sagaidāms, ka līdz ar turpmāku bezdarba samazināšanos un darba samaksas pieaugumu pamatinflāc</w:t>
      </w:r>
      <w:r w:rsidR="00AF0874">
        <w:rPr>
          <w:szCs w:val="23"/>
        </w:rPr>
        <w:t>ija palielināsies no 1,2% 2014.gadā līdz 2,9% 2017.</w:t>
      </w:r>
      <w:r w:rsidRPr="00A02E4F">
        <w:rPr>
          <w:szCs w:val="23"/>
        </w:rPr>
        <w:t>gadā. Savukārt kopējais patēriņa cenu pieaugums vidējā termiņā gaidāms 2,5% apmērā, ko noteiks sabalansēta ekonomikas attīstība un Latvijas ekonomikas konverģence uz ES vidējo līmeni.</w:t>
      </w:r>
    </w:p>
    <w:p w14:paraId="38FAFFD4" w14:textId="77777777" w:rsidR="00AF0874" w:rsidRDefault="00AF0874" w:rsidP="00A30BF7">
      <w:pPr>
        <w:pStyle w:val="H4"/>
        <w:spacing w:before="0"/>
        <w:ind w:left="0"/>
        <w:jc w:val="both"/>
        <w:rPr>
          <w:rFonts w:ascii="Times New Roman" w:hAnsi="Times New Roman"/>
          <w:sz w:val="24"/>
          <w:szCs w:val="24"/>
        </w:rPr>
      </w:pPr>
    </w:p>
    <w:p w14:paraId="3FC18F3D" w14:textId="77777777" w:rsidR="00A02E4F" w:rsidRPr="00AF38C3" w:rsidRDefault="00A02E4F" w:rsidP="00AF0874">
      <w:pPr>
        <w:pStyle w:val="H4"/>
        <w:spacing w:before="0"/>
        <w:ind w:firstLine="153"/>
        <w:jc w:val="both"/>
        <w:rPr>
          <w:rFonts w:ascii="Times New Roman" w:hAnsi="Times New Roman"/>
          <w:sz w:val="24"/>
          <w:szCs w:val="24"/>
        </w:rPr>
      </w:pPr>
      <w:r w:rsidRPr="00AF38C3">
        <w:rPr>
          <w:rFonts w:ascii="Times New Roman" w:hAnsi="Times New Roman"/>
          <w:sz w:val="24"/>
          <w:szCs w:val="24"/>
        </w:rPr>
        <w:t>Darba tirgus</w:t>
      </w:r>
    </w:p>
    <w:p w14:paraId="7FA0DF50" w14:textId="657E5EFD" w:rsidR="00A02E4F" w:rsidRPr="00A02E4F" w:rsidRDefault="00A02E4F" w:rsidP="00A02E4F">
      <w:pPr>
        <w:pStyle w:val="Default"/>
        <w:spacing w:after="60"/>
        <w:ind w:firstLine="720"/>
        <w:jc w:val="both"/>
        <w:rPr>
          <w:szCs w:val="23"/>
        </w:rPr>
      </w:pPr>
      <w:r w:rsidRPr="00A02E4F">
        <w:rPr>
          <w:szCs w:val="23"/>
        </w:rPr>
        <w:t>Ekonomiskajai izaugsmei nedaudz palēninotie</w:t>
      </w:r>
      <w:r w:rsidR="00AF0874">
        <w:rPr>
          <w:szCs w:val="23"/>
        </w:rPr>
        <w:t>s, uzlabojumi darba tirgū 2014.</w:t>
      </w:r>
      <w:r w:rsidRPr="00A02E4F">
        <w:rPr>
          <w:szCs w:val="23"/>
        </w:rPr>
        <w:t>gadā ir kļuvuši lēnāki, tomēr turpinās. Darba meklētāju īpatsvars pēc darbaspē</w:t>
      </w:r>
      <w:r w:rsidR="00AF0874">
        <w:rPr>
          <w:szCs w:val="23"/>
        </w:rPr>
        <w:t>ka apsekojuma rezultātiem 2014.</w:t>
      </w:r>
      <w:r w:rsidRPr="00A02E4F">
        <w:rPr>
          <w:szCs w:val="23"/>
        </w:rPr>
        <w:t>gadā ir samazinājies līdz 10,8%, kas ir par 1,1</w:t>
      </w:r>
      <w:r w:rsidR="00AF0874">
        <w:rPr>
          <w:szCs w:val="23"/>
        </w:rPr>
        <w:t xml:space="preserve"> procentpunktu mazāk nekā 2013.</w:t>
      </w:r>
      <w:r w:rsidRPr="00A02E4F">
        <w:rPr>
          <w:szCs w:val="23"/>
        </w:rPr>
        <w:t xml:space="preserve">gadā un </w:t>
      </w:r>
      <w:r w:rsidR="00AF0874">
        <w:rPr>
          <w:szCs w:val="23"/>
        </w:rPr>
        <w:t>ir zemākais rādītājs kopš 2008.</w:t>
      </w:r>
      <w:r w:rsidRPr="00A02E4F">
        <w:rPr>
          <w:szCs w:val="23"/>
        </w:rPr>
        <w:t>gada. Tomēr bezdarba samazināšanās bijusi lēnāka nekā iepriekšējā gadā, kad darba meklētāju īpatsvars bija sarucis par 3,1 procentpunktu.</w:t>
      </w:r>
    </w:p>
    <w:p w14:paraId="59A3FD31" w14:textId="2626DA06" w:rsidR="00A02E4F" w:rsidRPr="00A02E4F" w:rsidRDefault="00A02E4F" w:rsidP="00A02E4F">
      <w:pPr>
        <w:pStyle w:val="Default"/>
        <w:spacing w:after="60"/>
        <w:ind w:firstLine="720"/>
        <w:jc w:val="both"/>
        <w:rPr>
          <w:szCs w:val="23"/>
        </w:rPr>
      </w:pPr>
      <w:r w:rsidRPr="00A02E4F">
        <w:rPr>
          <w:szCs w:val="23"/>
        </w:rPr>
        <w:t>Par to,</w:t>
      </w:r>
      <w:r w:rsidR="00AF0874">
        <w:rPr>
          <w:szCs w:val="23"/>
        </w:rPr>
        <w:t xml:space="preserve"> ka situācija darba tirgū 2014.</w:t>
      </w:r>
      <w:r w:rsidRPr="00A02E4F">
        <w:rPr>
          <w:szCs w:val="23"/>
        </w:rPr>
        <w:t>gadā turpināja uzlaboties, liecina arī iedzīvotāju ekonomiskās aktivitātes un nodarbinātības līmenis. 2014.gadā ekonomiski aktīvo iedzīvotāju īpatsvars starp visiem darbspējas vecuma iedzīvotājiem ir palielinājies līdz 66,3%, salīdzinot ar 66,0% iepriekšējā gadā. Tas vienlaikus ar izmaiņām iedzīvotāju vecuma struktūrā parāda arī to, ka iedzīvotāju iespējas atrast darbu pēdējo gadu laikā ir uzlabojušās. To cilvēku skaits, kuri ir zaudējuši cerības atrast darbu un kļuvuši ekonomiski neaktīvi, kopš 2010.gada ir pastāvīgi samazinājies, un sarucis arī šo cilvēku īpatsvars starp visiem ekonomiski neaktīvajiem iedzīvotājiem.</w:t>
      </w:r>
    </w:p>
    <w:p w14:paraId="033527D5" w14:textId="2AA68B4B" w:rsidR="00A02E4F" w:rsidRPr="00A02E4F" w:rsidRDefault="00A02E4F" w:rsidP="00A02E4F">
      <w:pPr>
        <w:pStyle w:val="Default"/>
        <w:spacing w:after="60"/>
        <w:ind w:firstLine="720"/>
        <w:jc w:val="both"/>
        <w:rPr>
          <w:szCs w:val="23"/>
        </w:rPr>
      </w:pPr>
      <w:r w:rsidRPr="00A02E4F">
        <w:rPr>
          <w:szCs w:val="23"/>
        </w:rPr>
        <w:t>Tajā pašā laikā nodarbināto ied</w:t>
      </w:r>
      <w:r w:rsidR="00075DEB">
        <w:rPr>
          <w:szCs w:val="23"/>
        </w:rPr>
        <w:t>zīvotāju skaita pieaugums 2014.</w:t>
      </w:r>
      <w:r w:rsidRPr="00A02E4F">
        <w:rPr>
          <w:szCs w:val="23"/>
        </w:rPr>
        <w:t>gadā praktiski ir apstājies, ko noteikusi gan lēnākā ekonomikas izaugsme, gan kopējā darbspējas vecuma iedzīvotāju skaita samazināšanās. Pēc darbaspēka apsekojuma rezultātiem, kurus cita starpā ietekmējušas arī metodoloģijas izmaiņas, kopējais nodarbināto i</w:t>
      </w:r>
      <w:r w:rsidR="00075DEB">
        <w:rPr>
          <w:szCs w:val="23"/>
        </w:rPr>
        <w:t>edzīvotāju skaits Latvijā 2014.</w:t>
      </w:r>
      <w:r w:rsidRPr="00A02E4F">
        <w:rPr>
          <w:szCs w:val="23"/>
        </w:rPr>
        <w:t>gadā ir samazinājies p</w:t>
      </w:r>
      <w:r w:rsidR="00075DEB">
        <w:rPr>
          <w:szCs w:val="23"/>
        </w:rPr>
        <w:t xml:space="preserve">ar 1,0% līdz 884,6 tūkstošiem. </w:t>
      </w:r>
      <w:r w:rsidRPr="00A02E4F">
        <w:rPr>
          <w:szCs w:val="23"/>
        </w:rPr>
        <w:t xml:space="preserve">Savukārt </w:t>
      </w:r>
      <w:r w:rsidR="00075DEB">
        <w:rPr>
          <w:szCs w:val="23"/>
        </w:rPr>
        <w:t>VID</w:t>
      </w:r>
      <w:r w:rsidRPr="00A02E4F">
        <w:rPr>
          <w:szCs w:val="23"/>
        </w:rPr>
        <w:t xml:space="preserve"> dati par darba ņēmēju skaitu valstī liecina, ka strādājošo iedzīvotāju skaits 2014</w:t>
      </w:r>
      <w:r w:rsidR="00075DEB">
        <w:rPr>
          <w:szCs w:val="23"/>
        </w:rPr>
        <w:t>.</w:t>
      </w:r>
      <w:r w:rsidRPr="00A02E4F">
        <w:rPr>
          <w:szCs w:val="23"/>
        </w:rPr>
        <w:t>gadā ir turpinājis palielināties, bet būtiski lēnākos tempos nekā iepriekšējos gados. Darba ņēmēju skaits pērn ir palielinājies vidēji par 0,7%, kamēr divos iepriekšējos gados pieaugums sasniedza attiecīgi 1,7% un 3,2%.</w:t>
      </w:r>
    </w:p>
    <w:p w14:paraId="2945C07E" w14:textId="77777777" w:rsidR="00A02E4F" w:rsidRPr="00A02E4F" w:rsidRDefault="00A02E4F" w:rsidP="00A02E4F">
      <w:pPr>
        <w:pStyle w:val="Default"/>
        <w:spacing w:after="60"/>
        <w:ind w:firstLine="720"/>
        <w:jc w:val="both"/>
        <w:rPr>
          <w:szCs w:val="23"/>
        </w:rPr>
      </w:pPr>
      <w:r w:rsidRPr="00A02E4F">
        <w:rPr>
          <w:szCs w:val="23"/>
        </w:rPr>
        <w:lastRenderedPageBreak/>
        <w:t>Nozaru griezumā lielākās darba vietu veidotājas 2014.gadā bijušas informācijas tehnoloģiju, veselības un sociālās aprūpes, kā arī izmitināšanas un ēdināšanas pakalpojumu nozares, kur aizņemto darba vietu skaits 2014.gada beigās bijis attiecīgi par 8,5%, 6,7% un 4,8% lielāks nekā pirms gada, un šajā nozarēs kopā strādājošo skaits gada laikā audzis par 7,5 tūkstošiem.</w:t>
      </w:r>
    </w:p>
    <w:p w14:paraId="73F65865" w14:textId="2F365962" w:rsidR="00A02E4F" w:rsidRPr="00A02E4F" w:rsidRDefault="00075DEB" w:rsidP="00075DEB">
      <w:pPr>
        <w:pStyle w:val="Default"/>
        <w:spacing w:after="60"/>
        <w:ind w:firstLine="720"/>
        <w:jc w:val="both"/>
        <w:rPr>
          <w:szCs w:val="23"/>
        </w:rPr>
      </w:pPr>
      <w:r>
        <w:rPr>
          <w:szCs w:val="23"/>
        </w:rPr>
        <w:t>Paredzams, ka 2015.</w:t>
      </w:r>
      <w:r w:rsidR="00A02E4F" w:rsidRPr="00A02E4F">
        <w:rPr>
          <w:szCs w:val="23"/>
        </w:rPr>
        <w:t>gadā tautsaimniecībā nodarbināto iedzīvotāju skaits nemainīsies, bet trīs nākamajos gados gaidāms nedaudz straujāks pie</w:t>
      </w:r>
      <w:r>
        <w:rPr>
          <w:szCs w:val="23"/>
        </w:rPr>
        <w:t>augums attiecīgi par 0,2% 2016.</w:t>
      </w:r>
      <w:r w:rsidR="00A02E4F" w:rsidRPr="00A02E4F">
        <w:rPr>
          <w:szCs w:val="23"/>
        </w:rPr>
        <w:t>gadā u</w:t>
      </w:r>
      <w:r>
        <w:rPr>
          <w:szCs w:val="23"/>
        </w:rPr>
        <w:t>n 0,4% 2017. un 2018.</w:t>
      </w:r>
      <w:r w:rsidR="00A02E4F" w:rsidRPr="00A02E4F">
        <w:rPr>
          <w:szCs w:val="23"/>
        </w:rPr>
        <w:t xml:space="preserve">gadā. </w:t>
      </w:r>
    </w:p>
    <w:p w14:paraId="4CAA1B7E" w14:textId="77777777" w:rsidR="00A02E4F" w:rsidRPr="00AF38C3" w:rsidRDefault="00A02E4F" w:rsidP="00A02E4F">
      <w:pPr>
        <w:pStyle w:val="Zpar"/>
        <w:spacing w:after="120"/>
        <w:ind w:left="0" w:right="-57" w:firstLine="0"/>
        <w:jc w:val="center"/>
        <w:rPr>
          <w:rFonts w:ascii="Times New Roman" w:hAnsi="Times New Roman"/>
          <w:i w:val="0"/>
          <w:noProof/>
          <w:color w:val="FF0000"/>
          <w:sz w:val="24"/>
        </w:rPr>
      </w:pPr>
      <w:r w:rsidRPr="00AF38C3">
        <w:rPr>
          <w:rFonts w:ascii="Times New Roman" w:hAnsi="Times New Roman"/>
          <w:i w:val="0"/>
          <w:noProof/>
          <w:color w:val="FF0000"/>
          <w:sz w:val="24"/>
          <w:lang w:eastAsia="lv-LV"/>
        </w:rPr>
        <w:drawing>
          <wp:inline distT="0" distB="0" distL="0" distR="0" wp14:anchorId="20297428" wp14:editId="7159DB53">
            <wp:extent cx="5295900" cy="3286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5900" cy="3286125"/>
                    </a:xfrm>
                    <a:prstGeom prst="rect">
                      <a:avLst/>
                    </a:prstGeom>
                    <a:noFill/>
                  </pic:spPr>
                </pic:pic>
              </a:graphicData>
            </a:graphic>
          </wp:inline>
        </w:drawing>
      </w:r>
    </w:p>
    <w:p w14:paraId="34ED93E8" w14:textId="3D668E15" w:rsidR="00A02E4F" w:rsidRPr="00AF38C3" w:rsidRDefault="00075DEB" w:rsidP="004C6CC5">
      <w:pPr>
        <w:pStyle w:val="Zpar"/>
        <w:spacing w:before="120" w:after="120"/>
        <w:ind w:left="0" w:right="-57" w:firstLine="0"/>
        <w:jc w:val="center"/>
        <w:rPr>
          <w:rFonts w:ascii="Times New Roman" w:hAnsi="Times New Roman"/>
          <w:b/>
          <w:i w:val="0"/>
          <w:sz w:val="24"/>
        </w:rPr>
      </w:pPr>
      <w:r>
        <w:rPr>
          <w:rFonts w:ascii="Times New Roman" w:hAnsi="Times New Roman"/>
          <w:b/>
          <w:i w:val="0"/>
          <w:noProof/>
          <w:sz w:val="24"/>
        </w:rPr>
        <w:t>2.4</w:t>
      </w:r>
      <w:r w:rsidR="00A02E4F" w:rsidRPr="00F64295">
        <w:rPr>
          <w:rFonts w:ascii="Times New Roman" w:hAnsi="Times New Roman"/>
          <w:b/>
          <w:i w:val="0"/>
          <w:noProof/>
          <w:sz w:val="24"/>
        </w:rPr>
        <w:t>.att</w:t>
      </w:r>
      <w:r w:rsidR="00A02E4F">
        <w:rPr>
          <w:rFonts w:ascii="Times New Roman" w:hAnsi="Times New Roman"/>
          <w:b/>
          <w:i w:val="0"/>
          <w:noProof/>
          <w:sz w:val="24"/>
        </w:rPr>
        <w:t>ēls</w:t>
      </w:r>
      <w:r w:rsidR="00A02E4F" w:rsidRPr="00F64295">
        <w:rPr>
          <w:rFonts w:ascii="Times New Roman" w:hAnsi="Times New Roman"/>
          <w:b/>
          <w:i w:val="0"/>
          <w:noProof/>
          <w:sz w:val="24"/>
        </w:rPr>
        <w:t>.</w:t>
      </w:r>
      <w:r w:rsidR="00A02E4F" w:rsidRPr="00F64295">
        <w:rPr>
          <w:rFonts w:ascii="Times New Roman" w:hAnsi="Times New Roman"/>
          <w:b/>
          <w:i w:val="0"/>
          <w:sz w:val="24"/>
        </w:rPr>
        <w:t xml:space="preserve"> </w:t>
      </w:r>
      <w:r w:rsidR="00A02E4F" w:rsidRPr="00AF38C3">
        <w:rPr>
          <w:rFonts w:ascii="Times New Roman" w:hAnsi="Times New Roman"/>
          <w:b/>
          <w:i w:val="0"/>
          <w:sz w:val="24"/>
        </w:rPr>
        <w:t>Nodarbinātība un bezdarbs 2008.–2018.gadā</w:t>
      </w:r>
    </w:p>
    <w:p w14:paraId="194FEAAC" w14:textId="77777777" w:rsidR="00A02E4F" w:rsidRPr="00A02E4F" w:rsidRDefault="00A02E4F" w:rsidP="00A02E4F">
      <w:pPr>
        <w:pStyle w:val="Default"/>
        <w:spacing w:after="60"/>
        <w:ind w:firstLine="720"/>
        <w:jc w:val="both"/>
        <w:rPr>
          <w:szCs w:val="23"/>
        </w:rPr>
      </w:pPr>
      <w:r w:rsidRPr="00A02E4F">
        <w:rPr>
          <w:szCs w:val="23"/>
        </w:rPr>
        <w:t>Īstermiņā nodarbinātības pieauguma mazināšanās saistāma ar ekonomikas izaugsmes bremzēšanos un pieaugošajiem ārējiem riskiem, kā rezultātā darba devēji ir kļuvuši piesardzīgāki jaunu darbinieku pieņemšanā. Tomēr vidējā termiņā daudz būtiskāku lomu nodarbinātības attīstībā spēlēs tādi pieprasījuma puses faktori kā demogrāfiskā situācija un strukturālais bezdarbs.</w:t>
      </w:r>
    </w:p>
    <w:p w14:paraId="29EA9596" w14:textId="77777777" w:rsidR="00A02E4F" w:rsidRPr="00A02E4F" w:rsidRDefault="00A02E4F" w:rsidP="00A02E4F">
      <w:pPr>
        <w:pStyle w:val="Default"/>
        <w:spacing w:after="60"/>
        <w:ind w:firstLine="720"/>
        <w:jc w:val="both"/>
        <w:rPr>
          <w:szCs w:val="23"/>
        </w:rPr>
      </w:pPr>
      <w:r w:rsidRPr="00A02E4F">
        <w:rPr>
          <w:szCs w:val="23"/>
        </w:rPr>
        <w:t>Dzimstības samazināšanās pagājušā gadsimta deviņdesmitajos gados nozīmē, ka tuvākajos gados darba tirgū ienāks skaitliski ievērojami mazāks cilvēku skaits, nekā tas ir bijis iepriekšējos gados. Tā rezultātā pensionēšanās vecumu sasniegušo cilvēku skaits tuvākajos gados ievērojami pārsniegs jauniešu skaitu, kas ienāks darba tirgū. Papildus tam pēdējos gados bezdarba līmenis ir būtiski samazinājies salīdzinājumā ar krīzes augstāko punktu, un darba tirgū pieprasītākie darba meklētāji jau ir nodarbināti. Tādējādi arvien vairāk pieaug prasmju un reģionālā neatbilstība starp darba tirgus pieprasījumu un piedāvājumu. Šo faktoru ietekmē ekonomikas izaugsmi turpmāk arvien vairāk noteiks produktivitātes pieaugums, kamēr nodarbinātības pieauguma ietekme būs salīdzinoši nebūtiska.</w:t>
      </w:r>
    </w:p>
    <w:p w14:paraId="277971D0" w14:textId="48185107" w:rsidR="00A02E4F" w:rsidRPr="00A02E4F" w:rsidRDefault="00A02E4F" w:rsidP="00A02E4F">
      <w:pPr>
        <w:pStyle w:val="Default"/>
        <w:spacing w:after="60"/>
        <w:ind w:firstLine="720"/>
        <w:jc w:val="both"/>
        <w:rPr>
          <w:szCs w:val="23"/>
        </w:rPr>
      </w:pPr>
      <w:r w:rsidRPr="00A02E4F">
        <w:rPr>
          <w:szCs w:val="23"/>
        </w:rPr>
        <w:t>Bezdarba līmenis savukārt turpinās pakāpeniski samazināties tomēr ekonomiskās izaugsmes un demogrāfisko faktoru ietekmē gaidāms arī iedzīvotāju ekonomiskās aktivitātes pieaugums, kā rezultātā bezdarba līmenis samazināsies t</w:t>
      </w:r>
      <w:r w:rsidR="00075DEB">
        <w:rPr>
          <w:szCs w:val="23"/>
        </w:rPr>
        <w:t>ikai pakāpeniski no 10,2% 2015.gadā līdz 9,0% 2018.</w:t>
      </w:r>
      <w:r w:rsidRPr="00A02E4F">
        <w:rPr>
          <w:szCs w:val="23"/>
        </w:rPr>
        <w:t>gadā.</w:t>
      </w:r>
    </w:p>
    <w:p w14:paraId="744EFCC0" w14:textId="36DF7C7D" w:rsidR="00A02E4F" w:rsidRPr="00A30BF7" w:rsidRDefault="00A02E4F" w:rsidP="00A30BF7">
      <w:pPr>
        <w:pStyle w:val="Default"/>
        <w:spacing w:after="60"/>
        <w:ind w:firstLine="720"/>
        <w:jc w:val="both"/>
        <w:rPr>
          <w:szCs w:val="23"/>
        </w:rPr>
      </w:pPr>
      <w:r w:rsidRPr="00A02E4F">
        <w:rPr>
          <w:szCs w:val="23"/>
        </w:rPr>
        <w:t xml:space="preserve">Pēdējo divu gadu laikā reālās darba samaksas pieaugums ievērojami pārsniedzis produktivitātes kāpumu, tomēr tas saistāms ar ļoti zemo inflāciju, kas palielina algu pirktspēju, un tautsaimniecības straujo izaugsmi iepriekšējos gados, kas uzlaboja uzņēmumu </w:t>
      </w:r>
      <w:r w:rsidRPr="00A02E4F">
        <w:rPr>
          <w:szCs w:val="23"/>
        </w:rPr>
        <w:lastRenderedPageBreak/>
        <w:t>finanšu rādītājus un nodrošināja resursus algu paaugstināšanai. Tomēr šie ir īstermiņa faktori un sagaidāms, ka vidējā termiņā darba samaksas pieaugumu noteiks produktivitātes pieaugums, kas ir būtisks priekšnoteikums Latvijas konkurētspējas nodrošināšanai.</w:t>
      </w:r>
    </w:p>
    <w:p w14:paraId="2024E5C4" w14:textId="77777777" w:rsidR="004C6CC5" w:rsidRDefault="004C6CC5" w:rsidP="00075DEB">
      <w:pPr>
        <w:pStyle w:val="H4"/>
        <w:spacing w:before="0"/>
        <w:ind w:firstLine="153"/>
        <w:jc w:val="both"/>
        <w:rPr>
          <w:rFonts w:ascii="Times New Roman" w:hAnsi="Times New Roman"/>
          <w:sz w:val="24"/>
          <w:szCs w:val="24"/>
        </w:rPr>
      </w:pPr>
    </w:p>
    <w:p w14:paraId="154334E2" w14:textId="77777777" w:rsidR="00A02E4F" w:rsidRPr="00AF38C3" w:rsidRDefault="00A02E4F" w:rsidP="00075DEB">
      <w:pPr>
        <w:pStyle w:val="H4"/>
        <w:spacing w:before="0"/>
        <w:ind w:firstLine="153"/>
        <w:jc w:val="both"/>
        <w:rPr>
          <w:rFonts w:ascii="Times New Roman" w:hAnsi="Times New Roman"/>
          <w:sz w:val="24"/>
          <w:szCs w:val="24"/>
        </w:rPr>
      </w:pPr>
      <w:r w:rsidRPr="00AF38C3">
        <w:rPr>
          <w:rFonts w:ascii="Times New Roman" w:hAnsi="Times New Roman"/>
          <w:sz w:val="24"/>
          <w:szCs w:val="24"/>
        </w:rPr>
        <w:t>Ekonomikas cikliskā attīstība</w:t>
      </w:r>
    </w:p>
    <w:p w14:paraId="4E508191" w14:textId="7C089597" w:rsidR="00A02E4F" w:rsidRPr="00A02E4F" w:rsidRDefault="00A02E4F" w:rsidP="00A02E4F">
      <w:pPr>
        <w:pStyle w:val="Default"/>
        <w:spacing w:after="60"/>
        <w:ind w:firstLine="720"/>
        <w:jc w:val="both"/>
        <w:rPr>
          <w:szCs w:val="23"/>
        </w:rPr>
      </w:pPr>
      <w:r w:rsidRPr="00A02E4F">
        <w:rPr>
          <w:szCs w:val="23"/>
        </w:rPr>
        <w:t>Saskaņā ar FM aprēķiniem, potenciālā IKP izaugsme vidējā termiņā būs aptuveni 3-3,5%, ko pamatā noteiks kopējās faktoru produktivi</w:t>
      </w:r>
      <w:r w:rsidR="00075DEB">
        <w:rPr>
          <w:szCs w:val="23"/>
        </w:rPr>
        <w:t>tātes pieaugums. Sākot no 2013.</w:t>
      </w:r>
      <w:r w:rsidRPr="00A02E4F">
        <w:rPr>
          <w:szCs w:val="23"/>
        </w:rPr>
        <w:t>gada vērojams zems, bet pieaugošs pozitīvs darbaspēka devums potenciālā IKP izaugsmē. Straujāku nodarbinātības pieaugumu ierobežos salīdzinoši augsts strukturālais bezdarbs un demogrāfiskās problēmas. Sagaidāms, ka turpmākajos gados ekonomikas izaugsme būs tuvu tās potenciālajam līmenim. Šogad un nākamgad būs vērojama negatīva izlaižu starpība – attiecīgi 0,1% un 0,3%, savukārt vidējā termiņā izlaižu starpība būs neitrāla.</w:t>
      </w:r>
    </w:p>
    <w:p w14:paraId="01876BC0" w14:textId="3CFD5A2E" w:rsidR="00A02E4F" w:rsidRPr="00A02E4F" w:rsidRDefault="00A02E4F" w:rsidP="00A02E4F">
      <w:pPr>
        <w:pStyle w:val="Default"/>
        <w:spacing w:after="60"/>
        <w:ind w:firstLine="720"/>
        <w:jc w:val="both"/>
        <w:rPr>
          <w:szCs w:val="23"/>
        </w:rPr>
      </w:pPr>
      <w:r w:rsidRPr="00A02E4F">
        <w:rPr>
          <w:szCs w:val="23"/>
        </w:rPr>
        <w:t>Vidējais reālā IKP p</w:t>
      </w:r>
      <w:r w:rsidR="00075DEB">
        <w:rPr>
          <w:szCs w:val="23"/>
        </w:rPr>
        <w:t>ieaugums laikā periodā no 1996.gada līdz 2014.</w:t>
      </w:r>
      <w:r w:rsidRPr="00A02E4F">
        <w:rPr>
          <w:szCs w:val="23"/>
        </w:rPr>
        <w:t xml:space="preserve">gadam bija ap 4,5%. Tas ir nedaudz - aptuveni par vienu procentpunktu - augstāks nekā FM potenciālā IKP izaugsmes vidējā termiņā novērtējums. Salīdzinājumā ar iepriekšējā gada </w:t>
      </w:r>
      <w:r w:rsidR="00075DEB">
        <w:rPr>
          <w:szCs w:val="23"/>
        </w:rPr>
        <w:t>Stabilitātes programmu un 2015.</w:t>
      </w:r>
      <w:r w:rsidRPr="00A02E4F">
        <w:rPr>
          <w:szCs w:val="23"/>
        </w:rPr>
        <w:t>gada budžeta plānu, FM ir samazinājusi potenciālā IKP izaugsmes novērtējumu no 4,1% līdz 3,3%</w:t>
      </w:r>
      <w:r w:rsidR="00075DEB">
        <w:rPr>
          <w:szCs w:val="23"/>
        </w:rPr>
        <w:t xml:space="preserve"> vidējā termiņā, savukārt 2015.</w:t>
      </w:r>
      <w:r w:rsidRPr="00A02E4F">
        <w:rPr>
          <w:szCs w:val="23"/>
        </w:rPr>
        <w:t xml:space="preserve">gadam tas ir samazināts no 4,1% līdz 2,8%. Potenciālās izaugsmes prognozes koriģētas saistībā ar pieaugošo ārējo ģeopolitisko risku negatīvo ietekmi uz vidēja termiņa ekonomikas izaugsmes prognozēm un tā rezultātā prognozēto zemāko investīciju līmeni. </w:t>
      </w:r>
    </w:p>
    <w:tbl>
      <w:tblPr>
        <w:tblStyle w:val="TableGrid"/>
        <w:tblW w:w="0" w:type="auto"/>
        <w:tblLook w:val="04A0" w:firstRow="1" w:lastRow="0" w:firstColumn="1" w:lastColumn="0" w:noHBand="0" w:noVBand="1"/>
      </w:tblPr>
      <w:tblGrid>
        <w:gridCol w:w="4644"/>
        <w:gridCol w:w="4643"/>
      </w:tblGrid>
      <w:tr w:rsidR="00A02E4F" w:rsidRPr="00AF38C3" w14:paraId="70597F07" w14:textId="77777777" w:rsidTr="00E773FD">
        <w:tc>
          <w:tcPr>
            <w:tcW w:w="483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433D5095" w14:textId="77777777" w:rsidR="00A02E4F" w:rsidRPr="00AF38C3" w:rsidRDefault="00A02E4F" w:rsidP="00E773FD">
            <w:r w:rsidRPr="00AF38C3">
              <w:rPr>
                <w:noProof/>
              </w:rPr>
              <w:drawing>
                <wp:inline distT="0" distB="0" distL="0" distR="0" wp14:anchorId="1F3FF338" wp14:editId="275312A1">
                  <wp:extent cx="2669540" cy="2524125"/>
                  <wp:effectExtent l="0" t="0" r="1651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83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24947F0" w14:textId="77777777" w:rsidR="00A02E4F" w:rsidRPr="00AF38C3" w:rsidRDefault="00A02E4F" w:rsidP="00E773FD">
            <w:r w:rsidRPr="00AF38C3">
              <w:rPr>
                <w:noProof/>
              </w:rPr>
              <w:drawing>
                <wp:inline distT="0" distB="0" distL="0" distR="0" wp14:anchorId="21F317E9" wp14:editId="7481EB35">
                  <wp:extent cx="2677363" cy="2165350"/>
                  <wp:effectExtent l="0" t="0" r="889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346B1C44" w14:textId="18C6387F" w:rsidR="00A02E4F" w:rsidRPr="00A02E4F" w:rsidRDefault="00075DEB" w:rsidP="004C6CC5">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r w:rsidR="00A02E4F" w:rsidRPr="00A02E4F">
        <w:rPr>
          <w:rFonts w:ascii="Times New Roman" w:hAnsi="Times New Roman" w:cs="Times New Roman"/>
          <w:b/>
          <w:color w:val="000000" w:themeColor="text1"/>
          <w:sz w:val="24"/>
          <w:szCs w:val="24"/>
        </w:rPr>
        <w:t>attēls. Potenciālais IKP un izlaižu starpība</w:t>
      </w:r>
    </w:p>
    <w:p w14:paraId="0C2825C3" w14:textId="0D2801D5" w:rsidR="00A02E4F" w:rsidRPr="00A02E4F" w:rsidRDefault="00075DEB" w:rsidP="00A02E4F">
      <w:pPr>
        <w:pStyle w:val="Default"/>
        <w:spacing w:after="60"/>
        <w:ind w:firstLine="720"/>
        <w:jc w:val="both"/>
        <w:rPr>
          <w:szCs w:val="23"/>
        </w:rPr>
      </w:pPr>
      <w:r>
        <w:rPr>
          <w:szCs w:val="23"/>
        </w:rPr>
        <w:t>Lai gan EK 2015.</w:t>
      </w:r>
      <w:r w:rsidR="00A02E4F" w:rsidRPr="00A02E4F">
        <w:rPr>
          <w:szCs w:val="23"/>
        </w:rPr>
        <w:t>gada ziemas prognozes rāda, ka vidējā termiņā Latvijā būs vērojama būtiski p</w:t>
      </w:r>
      <w:r>
        <w:rPr>
          <w:szCs w:val="23"/>
        </w:rPr>
        <w:t>ozitīva izlaižu starpība (2015.gadā 1,4%, bet 2016.</w:t>
      </w:r>
      <w:r w:rsidR="00A02E4F" w:rsidRPr="00A02E4F">
        <w:rPr>
          <w:szCs w:val="23"/>
        </w:rPr>
        <w:t>gadā 1,8%), tomēr nedz faktiskie makroekonomiskie indikatori, nedz prognozes šobrīd par to neliecina. Inflācija Latvijā ir zema un tuva ES vidējam līmenim, savukārt vidējā termiņā inflācija būs atbilstoša sabalansētiem ekonomikas attīstības tempiem. Lēni, bet turpina uzlaboties situācija darba tirgū, ārējā neto parāda attiecība pret IKP turpina samazināti</w:t>
      </w:r>
      <w:r>
        <w:rPr>
          <w:szCs w:val="23"/>
        </w:rPr>
        <w:t>es. Darba algas pieaugums 2014.</w:t>
      </w:r>
      <w:r w:rsidR="00A02E4F" w:rsidRPr="00A02E4F">
        <w:rPr>
          <w:szCs w:val="23"/>
        </w:rPr>
        <w:t>gadā saistīts ar pozitīvajiem ekonomikas izaugsmes tempiem iepriekšējos gados un turpmāku algu konverģenci uz ES vidējo līmeni. Jāatzīmē, ka darba samaksas īpatsvars Latvijas IKP ir būtiski zem ES vidējā, tādēļ īslaicīgs pieaugums virs produktivitātes neliecina par ekonomikas pārkaršanu.</w:t>
      </w:r>
    </w:p>
    <w:p w14:paraId="7B3D6122" w14:textId="3689ABE5" w:rsidR="00A02E4F" w:rsidRPr="00A02E4F" w:rsidRDefault="00A02E4F" w:rsidP="00A02E4F">
      <w:pPr>
        <w:pStyle w:val="Default"/>
        <w:spacing w:after="60"/>
        <w:ind w:firstLine="720"/>
        <w:jc w:val="both"/>
        <w:rPr>
          <w:szCs w:val="23"/>
        </w:rPr>
      </w:pPr>
      <w:r w:rsidRPr="00A02E4F">
        <w:rPr>
          <w:szCs w:val="23"/>
        </w:rPr>
        <w:t xml:space="preserve">Balstoties uz makroekonomiskās attīstības scenāriju, nevar secināt, ka Latvijas ekonomika sāktu pārkarst, kā to paredz EK aprēķini par izlaižu starpību. Jāatzīmē, ka arī </w:t>
      </w:r>
      <w:r w:rsidRPr="00A02E4F">
        <w:rPr>
          <w:szCs w:val="23"/>
        </w:rPr>
        <w:lastRenderedPageBreak/>
        <w:t xml:space="preserve">atbilstoši agrās brīdināšanas mehānismam Latvijā nav konstatētas makroekonomiskās nesabalansētības, kas varētu norādīt uz iespējamām ekonomikas pārkaršanas pazīmēm. Papildus tam, </w:t>
      </w:r>
      <w:r w:rsidR="00075DEB">
        <w:rPr>
          <w:szCs w:val="23"/>
        </w:rPr>
        <w:t>SVF</w:t>
      </w:r>
      <w:r w:rsidRPr="00A02E4F">
        <w:rPr>
          <w:szCs w:val="23"/>
        </w:rPr>
        <w:t xml:space="preserve"> aprēķini rāda, ka izlaižu starpība vidējā termiņā būs ļoti tuvu nullei.</w:t>
      </w:r>
    </w:p>
    <w:p w14:paraId="0D413079" w14:textId="25CF445D" w:rsidR="005536A9" w:rsidRPr="00F51615" w:rsidRDefault="00A02E4F" w:rsidP="004C6CC5">
      <w:pPr>
        <w:pStyle w:val="Default"/>
        <w:spacing w:after="60"/>
        <w:ind w:firstLine="720"/>
        <w:jc w:val="both"/>
        <w:rPr>
          <w:rFonts w:eastAsiaTheme="majorEastAsia"/>
          <w:b/>
          <w:bCs/>
          <w:smallCaps/>
          <w:color w:val="000000" w:themeColor="text1"/>
          <w:sz w:val="32"/>
          <w:szCs w:val="36"/>
        </w:rPr>
      </w:pPr>
      <w:r w:rsidRPr="00A02E4F">
        <w:rPr>
          <w:szCs w:val="23"/>
        </w:rPr>
        <w:t>Ņemot vērā augstākminētos faktorus, uzskatām, ka EK izlaižu starpības aprēķini neatspoguļo faktisko ekonomisko situāciju Latvijā.</w:t>
      </w:r>
      <w:r w:rsidR="005536A9" w:rsidRPr="00F51615">
        <w:rPr>
          <w:sz w:val="32"/>
        </w:rPr>
        <w:br w:type="page"/>
      </w:r>
    </w:p>
    <w:p w14:paraId="18ED4669" w14:textId="77777777" w:rsidR="005536A9" w:rsidRPr="00F51615" w:rsidRDefault="005536A9" w:rsidP="00F512CA">
      <w:pPr>
        <w:pStyle w:val="Heading1"/>
        <w:numPr>
          <w:ilvl w:val="0"/>
          <w:numId w:val="1"/>
        </w:numPr>
        <w:ind w:left="284" w:hanging="283"/>
        <w:jc w:val="center"/>
        <w:rPr>
          <w:rFonts w:ascii="Times New Roman" w:hAnsi="Times New Roman" w:cs="Times New Roman"/>
          <w:sz w:val="32"/>
        </w:rPr>
      </w:pPr>
      <w:bookmarkStart w:id="6" w:name="_Toc416279066"/>
      <w:r w:rsidRPr="00F51615">
        <w:rPr>
          <w:rFonts w:ascii="Times New Roman" w:hAnsi="Times New Roman" w:cs="Times New Roman"/>
          <w:sz w:val="32"/>
        </w:rPr>
        <w:lastRenderedPageBreak/>
        <w:t>Vispārējās valdības budžeta bilance un parāds</w:t>
      </w:r>
      <w:bookmarkEnd w:id="6"/>
    </w:p>
    <w:p w14:paraId="61B2E350" w14:textId="77777777" w:rsidR="00A34463" w:rsidRPr="00F51615" w:rsidRDefault="00A34463" w:rsidP="007E26F6">
      <w:pPr>
        <w:pStyle w:val="Heading2"/>
        <w:numPr>
          <w:ilvl w:val="1"/>
          <w:numId w:val="1"/>
        </w:numPr>
        <w:spacing w:before="240" w:after="120"/>
        <w:ind w:left="709"/>
        <w:rPr>
          <w:rFonts w:ascii="Times New Roman" w:hAnsi="Times New Roman" w:cs="Times New Roman"/>
          <w:sz w:val="24"/>
        </w:rPr>
      </w:pPr>
      <w:bookmarkStart w:id="7" w:name="_Toc416279067"/>
      <w:r w:rsidRPr="00F51615">
        <w:rPr>
          <w:rFonts w:ascii="Times New Roman" w:hAnsi="Times New Roman" w:cs="Times New Roman"/>
          <w:sz w:val="24"/>
        </w:rPr>
        <w:t>Pašreizējā fiskālā situācija</w:t>
      </w:r>
      <w:bookmarkEnd w:id="7"/>
    </w:p>
    <w:p w14:paraId="24E1C92C" w14:textId="77777777" w:rsidR="004C7E0F" w:rsidRPr="00E773FD" w:rsidRDefault="004C7E0F" w:rsidP="004C7E0F">
      <w:pPr>
        <w:pStyle w:val="Default"/>
        <w:spacing w:after="60"/>
        <w:ind w:firstLine="720"/>
        <w:jc w:val="both"/>
        <w:rPr>
          <w:szCs w:val="23"/>
        </w:rPr>
      </w:pPr>
      <w:r w:rsidRPr="00E773FD">
        <w:rPr>
          <w:szCs w:val="23"/>
        </w:rPr>
        <w:t xml:space="preserve">Saskaņā ar </w:t>
      </w:r>
      <w:r>
        <w:rPr>
          <w:szCs w:val="23"/>
        </w:rPr>
        <w:t>FM</w:t>
      </w:r>
      <w:r w:rsidRPr="00E773FD">
        <w:rPr>
          <w:szCs w:val="23"/>
        </w:rPr>
        <w:t xml:space="preserve"> 2015.gada janvārī veikto novērtējumu, vispārējās valdības bu</w:t>
      </w:r>
      <w:r>
        <w:rPr>
          <w:szCs w:val="23"/>
        </w:rPr>
        <w:t>džeta nominālais deficīts 2014.</w:t>
      </w:r>
      <w:r w:rsidRPr="00E773FD">
        <w:rPr>
          <w:szCs w:val="23"/>
        </w:rPr>
        <w:t xml:space="preserve">gadā ir sasniedzis 1,4% no IKP jeb 339,8 milj. </w:t>
      </w:r>
      <w:r>
        <w:rPr>
          <w:i/>
          <w:szCs w:val="23"/>
        </w:rPr>
        <w:t>euro</w:t>
      </w:r>
      <w:r w:rsidRPr="00E773FD">
        <w:rPr>
          <w:szCs w:val="23"/>
        </w:rPr>
        <w:t>, kas ir par 0,4 procentpunktiem jeb 85,6 milj. </w:t>
      </w:r>
      <w:r>
        <w:rPr>
          <w:i/>
          <w:szCs w:val="23"/>
        </w:rPr>
        <w:t>euro</w:t>
      </w:r>
      <w:r>
        <w:rPr>
          <w:szCs w:val="23"/>
        </w:rPr>
        <w:t xml:space="preserve"> </w:t>
      </w:r>
      <w:r w:rsidRPr="00E773FD">
        <w:rPr>
          <w:szCs w:val="23"/>
        </w:rPr>
        <w:t>vairāk nekā plānots iepriekšējā cikla Latvijas Stabilitātes programmā. Šo noviržu pamatā galvenokārt ir vienreizējs kapitāla pārvedums centrālās valdības saistību izpildei pret Eiropas Rekonstrukcijas un attīstības banku. Dinamikā deficīta pieaugums konstatējams arī attiecībā pret 2013.gada rezultātiem, kad vispārējās valdības sektora neto aizņemšanās veidoja vien 0,9% no IKP jeb 199,6 milj. </w:t>
      </w:r>
      <w:r>
        <w:rPr>
          <w:i/>
          <w:szCs w:val="23"/>
        </w:rPr>
        <w:t>euro</w:t>
      </w:r>
      <w:r w:rsidRPr="00E773FD">
        <w:rPr>
          <w:szCs w:val="23"/>
        </w:rPr>
        <w:t>.</w:t>
      </w:r>
    </w:p>
    <w:p w14:paraId="04EF59E8" w14:textId="77777777" w:rsidR="004C7E0F" w:rsidRPr="00E773FD" w:rsidRDefault="004C7E0F" w:rsidP="004C7E0F">
      <w:pPr>
        <w:pStyle w:val="Default"/>
        <w:spacing w:after="60"/>
        <w:ind w:firstLine="720"/>
        <w:jc w:val="both"/>
        <w:rPr>
          <w:szCs w:val="23"/>
        </w:rPr>
      </w:pPr>
      <w:r w:rsidRPr="00E773FD">
        <w:rPr>
          <w:szCs w:val="23"/>
        </w:rPr>
        <w:t>2014.gadā bija vērojams ieņēmumu un izdevumu nominālais kāpums, gada laikā vispārējās valdības budžeta ieņēmumiem pieaugot par 4,0%, bet izdevumiem – par 5,6%. Tajā pat laikā relatīvi pret ekonomikas izaugsmi ieņēmumi pērn saglabājās tuvu 2013.gada līmenim, sasniedzot 35,0% no IKP, savukārt, pārdalītie resursi vispārējās valdības budžeta izdevumos palielinājās par 0,7 procentpunktiem un veidoja 36,4% no IKP.</w:t>
      </w:r>
    </w:p>
    <w:p w14:paraId="3DA6268D" w14:textId="77777777" w:rsidR="00E773FD" w:rsidRPr="00936F49" w:rsidRDefault="00E773FD" w:rsidP="00E773FD">
      <w:pPr>
        <w:jc w:val="center"/>
      </w:pPr>
      <w:r w:rsidRPr="00936F49">
        <w:rPr>
          <w:noProof/>
          <w:lang w:eastAsia="lv-LV"/>
        </w:rPr>
        <w:drawing>
          <wp:inline distT="0" distB="0" distL="0" distR="0" wp14:anchorId="55B56B6A" wp14:editId="63DCB04E">
            <wp:extent cx="4648200" cy="26860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21C218" w14:textId="29FEBEC1" w:rsidR="00E773FD" w:rsidRPr="00075DEB" w:rsidRDefault="00075DEB" w:rsidP="004C6CC5">
      <w:pPr>
        <w:pStyle w:val="teksts"/>
        <w:spacing w:before="120"/>
        <w:ind w:firstLine="720"/>
        <w:jc w:val="center"/>
        <w:rPr>
          <w:rFonts w:ascii="Times New Roman" w:eastAsia="Calibri" w:hAnsi="Times New Roman"/>
          <w:b/>
          <w:szCs w:val="24"/>
        </w:rPr>
      </w:pPr>
      <w:r w:rsidRPr="00075DEB">
        <w:rPr>
          <w:rFonts w:ascii="Times New Roman" w:eastAsia="Calibri" w:hAnsi="Times New Roman"/>
          <w:b/>
          <w:szCs w:val="24"/>
        </w:rPr>
        <w:t>3</w:t>
      </w:r>
      <w:r w:rsidR="00C81719">
        <w:rPr>
          <w:rFonts w:ascii="Times New Roman" w:eastAsia="Calibri" w:hAnsi="Times New Roman"/>
          <w:b/>
          <w:szCs w:val="24"/>
        </w:rPr>
        <w:t>.1.</w:t>
      </w:r>
      <w:r w:rsidR="00E773FD" w:rsidRPr="00075DEB">
        <w:rPr>
          <w:rFonts w:ascii="Times New Roman" w:eastAsia="Calibri" w:hAnsi="Times New Roman"/>
          <w:b/>
          <w:szCs w:val="24"/>
        </w:rPr>
        <w:t>att</w:t>
      </w:r>
      <w:r>
        <w:rPr>
          <w:rFonts w:ascii="Times New Roman" w:eastAsia="Calibri" w:hAnsi="Times New Roman"/>
          <w:b/>
          <w:szCs w:val="24"/>
        </w:rPr>
        <w:t>ēls</w:t>
      </w:r>
      <w:r w:rsidR="00E773FD" w:rsidRPr="00075DEB">
        <w:rPr>
          <w:rFonts w:ascii="Times New Roman" w:eastAsia="Calibri" w:hAnsi="Times New Roman"/>
          <w:b/>
          <w:szCs w:val="24"/>
        </w:rPr>
        <w:t>. Vispārējās valdības ieņēmumi, izdevumi un budžeta bilance</w:t>
      </w:r>
      <w:r w:rsidR="00E773FD" w:rsidRPr="004C6CC5">
        <w:rPr>
          <w:rStyle w:val="FootnoteReference"/>
          <w:rFonts w:ascii="Times New Roman" w:eastAsia="Calibri" w:hAnsi="Times New Roman"/>
          <w:b/>
          <w:sz w:val="24"/>
          <w:szCs w:val="24"/>
        </w:rPr>
        <w:footnoteReference w:id="4"/>
      </w:r>
      <w:r w:rsidR="00E773FD" w:rsidRPr="00075DEB">
        <w:rPr>
          <w:rFonts w:ascii="Times New Roman" w:eastAsia="Calibri" w:hAnsi="Times New Roman"/>
          <w:b/>
          <w:szCs w:val="24"/>
        </w:rPr>
        <w:t>,</w:t>
      </w:r>
      <w:r w:rsidR="00E773FD" w:rsidRPr="00075DEB">
        <w:rPr>
          <w:rFonts w:ascii="Times New Roman" w:eastAsia="Calibri" w:hAnsi="Times New Roman"/>
          <w:b/>
          <w:szCs w:val="24"/>
        </w:rPr>
        <w:br/>
        <w:t>% no IKP</w:t>
      </w:r>
    </w:p>
    <w:p w14:paraId="763BC149" w14:textId="77777777" w:rsidR="004C7E0F" w:rsidRPr="00E773FD" w:rsidRDefault="004C7E0F" w:rsidP="004C7E0F">
      <w:pPr>
        <w:pStyle w:val="Default"/>
        <w:spacing w:after="60"/>
        <w:ind w:firstLine="720"/>
        <w:jc w:val="both"/>
        <w:rPr>
          <w:szCs w:val="23"/>
        </w:rPr>
      </w:pPr>
      <w:r w:rsidRPr="00E773FD">
        <w:rPr>
          <w:szCs w:val="23"/>
        </w:rPr>
        <w:t>Situācija 2014.gada nodokļu ieņēmumos atspoguļoja ekonomikā notiekošo un, palēninoties izaugsmei, arī nodokļu pieauguma temps kopumā ir kļuvis lēnāks. Taču ekonomiskās situācijas negatīvo ietekmi mīkstināja ieviestie pasākumi efektīvākai nodokļu administrēšanai. Pateicoties vidējās darba samaksas pieaugumam, kas sekmēja mazumtirdzniecības apgrozījuma kāpumu, lielāko pieaugumu 2014.gadā nodrošināja ieņēmumi no pievienotās vērtības nodokļa, kā arī ieņēmumi no iedzīvotāju ienākuma nodokļa. Neskatoties uz to, ka sociālās apdrošināšanas iemaksu likme ar 2014.gadu tika samazināta par 1 procentpunktu, arī šī nodokļa veida ieņēmumi pērn palielinājās.</w:t>
      </w:r>
    </w:p>
    <w:p w14:paraId="6D72F764" w14:textId="77777777" w:rsidR="004C7E0F" w:rsidRPr="00E773FD" w:rsidRDefault="004C7E0F" w:rsidP="004C7E0F">
      <w:pPr>
        <w:pStyle w:val="Default"/>
        <w:spacing w:after="60"/>
        <w:ind w:firstLine="720"/>
        <w:jc w:val="both"/>
        <w:rPr>
          <w:szCs w:val="23"/>
        </w:rPr>
      </w:pPr>
      <w:r w:rsidRPr="00E773FD">
        <w:rPr>
          <w:szCs w:val="23"/>
        </w:rPr>
        <w:t>Vispārējās valdības tēriņu kāpumu pērn līdzvērtīgās proporcijās nodrošināja augstāki izdevumi atlīdzībai un intensīvāki kārtējie pārvedumi ES fondu finansējuma saņēmējiem. Salīdzinoši mazākā mērā kopējo izdevumu palielinājumu ietekmēja aktīvāka bruto pamatkapitāla veidošana, kā arī lielāki sociāla rakstura pabalstu maksājumi.</w:t>
      </w:r>
    </w:p>
    <w:p w14:paraId="6E89B608" w14:textId="77777777" w:rsidR="004C7E0F" w:rsidRPr="00E773FD" w:rsidRDefault="004C7E0F" w:rsidP="004C7E0F">
      <w:pPr>
        <w:pStyle w:val="Default"/>
        <w:spacing w:after="60"/>
        <w:ind w:firstLine="720"/>
        <w:jc w:val="both"/>
        <w:rPr>
          <w:szCs w:val="23"/>
        </w:rPr>
      </w:pPr>
      <w:r w:rsidRPr="00E773FD">
        <w:rPr>
          <w:szCs w:val="23"/>
        </w:rPr>
        <w:lastRenderedPageBreak/>
        <w:t>Vērtējot vispārējās valdības apakšsektoru</w:t>
      </w:r>
      <w:r w:rsidRPr="00075DEB">
        <w:rPr>
          <w:szCs w:val="23"/>
          <w:vertAlign w:val="superscript"/>
        </w:rPr>
        <w:footnoteReference w:id="5"/>
      </w:r>
      <w:r w:rsidRPr="00E773FD">
        <w:rPr>
          <w:szCs w:val="23"/>
        </w:rPr>
        <w:t xml:space="preserve"> ieguldījumu kopējā fiskālajā bilancē, jāsecina, ka pagājušā gada laikā ir būtiski palielinājies centrālās valdības deficīts. Ja 2013.gadā centrālās valdības ieņēmumi un izdevumi bija tuvu sabalansēti, tad pērn izdevumi pārsniedza ieņēmumus par 1,7% no IKP. Diametrāli pretēja dinamika ir vērojama pārējos divos apakšsektoros, jo īpaši sociālās nodrošināšanas fondā, kur pagājušais gads nodrošināja pāreju no 2013.gada deficīta uz fiskālo pārpalikumu 0,4% apmērā no IKP. Situācijas strauju uzlabošanos sociālās nodrošināšanas fondā sekmēja tas, ka sākot ar 2014.gadu centrālā valdība transfertu veidā finansē pensiju piemaksas, kas tiek maksātas no sociālās nodrošināšanas fonda. Savukārt, attiecībā uz vietējo valdību apakšsektoru – virzību uz sabalansētāku budžetu veicināja praktiski nemainīgs izdevumu līmenis kombinācijā ar iepriekš pieminētajiem augošajiem ieņēmumiem no iedzīvotāju ienākuma nodokļa.</w:t>
      </w:r>
    </w:p>
    <w:p w14:paraId="5F60A771" w14:textId="77777777" w:rsidR="00E773FD" w:rsidRPr="00E2088A" w:rsidRDefault="00E773FD" w:rsidP="00E773FD">
      <w:pPr>
        <w:spacing w:before="240"/>
        <w:jc w:val="center"/>
      </w:pPr>
      <w:r w:rsidRPr="00E2088A">
        <w:rPr>
          <w:noProof/>
          <w:lang w:eastAsia="lv-LV"/>
        </w:rPr>
        <w:drawing>
          <wp:inline distT="0" distB="0" distL="0" distR="0" wp14:anchorId="4C189204" wp14:editId="72ADF663">
            <wp:extent cx="4848225" cy="26384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048A85" w14:textId="560E4A2C" w:rsidR="00E773FD" w:rsidRDefault="00075DEB" w:rsidP="004C6CC5">
      <w:pPr>
        <w:pStyle w:val="teksts"/>
        <w:spacing w:before="120"/>
        <w:ind w:firstLine="720"/>
        <w:jc w:val="center"/>
        <w:rPr>
          <w:rFonts w:ascii="Times New Roman" w:hAnsi="Times New Roman"/>
          <w:b/>
          <w:i/>
          <w:szCs w:val="24"/>
        </w:rPr>
      </w:pPr>
      <w:r w:rsidRPr="00075DEB">
        <w:rPr>
          <w:rFonts w:ascii="Times New Roman" w:eastAsia="Calibri" w:hAnsi="Times New Roman"/>
          <w:b/>
          <w:szCs w:val="24"/>
        </w:rPr>
        <w:t>3</w:t>
      </w:r>
      <w:r w:rsidR="00C81719">
        <w:rPr>
          <w:rFonts w:ascii="Times New Roman" w:eastAsia="Calibri" w:hAnsi="Times New Roman"/>
          <w:b/>
          <w:szCs w:val="24"/>
        </w:rPr>
        <w:t>.2.</w:t>
      </w:r>
      <w:r w:rsidR="00E773FD" w:rsidRPr="00075DEB">
        <w:rPr>
          <w:rFonts w:ascii="Times New Roman" w:eastAsia="Calibri" w:hAnsi="Times New Roman"/>
          <w:b/>
          <w:szCs w:val="24"/>
        </w:rPr>
        <w:t>att</w:t>
      </w:r>
      <w:r w:rsidR="00C81719">
        <w:rPr>
          <w:rFonts w:ascii="Times New Roman" w:eastAsia="Calibri" w:hAnsi="Times New Roman"/>
          <w:b/>
          <w:szCs w:val="24"/>
        </w:rPr>
        <w:t>ēls</w:t>
      </w:r>
      <w:r w:rsidR="00E773FD" w:rsidRPr="00075DEB">
        <w:rPr>
          <w:rFonts w:ascii="Times New Roman" w:eastAsia="Calibri" w:hAnsi="Times New Roman"/>
          <w:b/>
          <w:szCs w:val="24"/>
        </w:rPr>
        <w:t xml:space="preserve">. Vispārējās valdības budžeta bilance sadalījumā pa </w:t>
      </w:r>
      <w:r w:rsidR="00E773FD" w:rsidRPr="00075DEB">
        <w:rPr>
          <w:rFonts w:ascii="Times New Roman" w:eastAsia="Calibri" w:hAnsi="Times New Roman"/>
          <w:b/>
          <w:noProof/>
          <w:szCs w:val="24"/>
        </w:rPr>
        <w:t>apakšsektoriem</w:t>
      </w:r>
      <w:r w:rsidR="00E773FD" w:rsidRPr="00075DEB">
        <w:rPr>
          <w:rStyle w:val="FootnoteReference"/>
          <w:rFonts w:ascii="Times New Roman" w:eastAsia="Calibri" w:hAnsi="Times New Roman"/>
          <w:b/>
          <w:sz w:val="24"/>
          <w:szCs w:val="24"/>
        </w:rPr>
        <w:footnoteReference w:id="6"/>
      </w:r>
      <w:r w:rsidR="00E773FD" w:rsidRPr="00075DEB">
        <w:rPr>
          <w:rFonts w:ascii="Times New Roman" w:eastAsia="Calibri" w:hAnsi="Times New Roman"/>
          <w:b/>
          <w:noProof/>
          <w:szCs w:val="24"/>
        </w:rPr>
        <w:t>,</w:t>
      </w:r>
      <w:r w:rsidR="00E773FD" w:rsidRPr="00075DEB">
        <w:rPr>
          <w:rFonts w:ascii="Times New Roman" w:eastAsia="Calibri" w:hAnsi="Times New Roman"/>
          <w:b/>
          <w:noProof/>
          <w:szCs w:val="24"/>
        </w:rPr>
        <w:br/>
        <w:t>milj.</w:t>
      </w:r>
      <w:r w:rsidRPr="00075DEB">
        <w:rPr>
          <w:rFonts w:ascii="Times New Roman" w:hAnsi="Times New Roman"/>
          <w:b/>
          <w:i/>
          <w:szCs w:val="24"/>
        </w:rPr>
        <w:t xml:space="preserve"> euro</w:t>
      </w:r>
    </w:p>
    <w:p w14:paraId="7A1B1492" w14:textId="77777777" w:rsidR="007E26F6" w:rsidRPr="00075DEB" w:rsidRDefault="007E26F6" w:rsidP="007E26F6">
      <w:pPr>
        <w:pStyle w:val="teksts"/>
        <w:rPr>
          <w:rFonts w:ascii="Times New Roman" w:eastAsia="Calibri" w:hAnsi="Times New Roman"/>
          <w:b/>
          <w:noProof/>
          <w:szCs w:val="24"/>
        </w:rPr>
      </w:pPr>
    </w:p>
    <w:p w14:paraId="254D8354" w14:textId="74D8FE0C" w:rsidR="004C7E0F" w:rsidRPr="004C7E0F" w:rsidRDefault="00A34463" w:rsidP="004C7E0F">
      <w:pPr>
        <w:pStyle w:val="Heading2"/>
        <w:numPr>
          <w:ilvl w:val="1"/>
          <w:numId w:val="1"/>
        </w:numPr>
        <w:spacing w:before="240" w:after="120"/>
        <w:ind w:left="709"/>
        <w:rPr>
          <w:rFonts w:ascii="Times New Roman" w:hAnsi="Times New Roman" w:cs="Times New Roman"/>
          <w:sz w:val="24"/>
        </w:rPr>
      </w:pPr>
      <w:bookmarkStart w:id="8" w:name="_Toc416279068"/>
      <w:r w:rsidRPr="00F51615">
        <w:rPr>
          <w:rFonts w:ascii="Times New Roman" w:hAnsi="Times New Roman" w:cs="Times New Roman"/>
          <w:sz w:val="24"/>
        </w:rPr>
        <w:t>Fiskālās politikas stratēģija un vidēja termiņa mērķis</w:t>
      </w:r>
      <w:bookmarkEnd w:id="8"/>
    </w:p>
    <w:p w14:paraId="29B3F11A" w14:textId="77777777" w:rsidR="004C7E0F" w:rsidRPr="0009609E" w:rsidRDefault="004C7E0F" w:rsidP="004C7E0F">
      <w:pPr>
        <w:spacing w:after="60" w:line="240" w:lineRule="auto"/>
        <w:ind w:firstLine="720"/>
        <w:jc w:val="both"/>
        <w:rPr>
          <w:rFonts w:ascii="Times New Roman" w:eastAsia="Calibri" w:hAnsi="Times New Roman" w:cs="Times New Roman"/>
          <w:b/>
          <w:color w:val="000000"/>
          <w:sz w:val="24"/>
          <w:szCs w:val="24"/>
        </w:rPr>
      </w:pPr>
      <w:r w:rsidRPr="0009609E">
        <w:rPr>
          <w:rFonts w:ascii="Times New Roman" w:eastAsia="Calibri" w:hAnsi="Times New Roman" w:cs="Times New Roman"/>
          <w:b/>
          <w:color w:val="000000"/>
          <w:sz w:val="24"/>
          <w:szCs w:val="24"/>
        </w:rPr>
        <w:t>Latvijas fiskālās politikas stratēģijas pamatā ir ekonomiskajā ciklā sabalansēta budžeta nosacījums,</w:t>
      </w:r>
      <w:r>
        <w:rPr>
          <w:rFonts w:ascii="Times New Roman" w:eastAsia="Calibri" w:hAnsi="Times New Roman" w:cs="Times New Roman"/>
          <w:b/>
          <w:color w:val="000000"/>
          <w:sz w:val="24"/>
          <w:szCs w:val="24"/>
        </w:rPr>
        <w:t xml:space="preserve"> jeb nosacījums, ka strukturālais</w:t>
      </w:r>
      <w:r w:rsidRPr="0009609E">
        <w:rPr>
          <w:rFonts w:ascii="Times New Roman" w:eastAsia="Calibri" w:hAnsi="Times New Roman" w:cs="Times New Roman"/>
          <w:b/>
          <w:color w:val="000000"/>
          <w:sz w:val="24"/>
          <w:szCs w:val="24"/>
        </w:rPr>
        <w:t xml:space="preserve"> deficīts ilgtermiņā (VTM) nedrīkst pārsniegt 0,5% no IKP.</w:t>
      </w:r>
    </w:p>
    <w:p w14:paraId="77354623" w14:textId="77777777" w:rsidR="004C7E0F" w:rsidRPr="0009609E" w:rsidRDefault="004C7E0F" w:rsidP="004C7E0F">
      <w:pPr>
        <w:spacing w:after="60" w:line="240" w:lineRule="auto"/>
        <w:ind w:firstLine="720"/>
        <w:jc w:val="both"/>
        <w:rPr>
          <w:rFonts w:ascii="Times New Roman" w:eastAsia="Calibri" w:hAnsi="Times New Roman" w:cs="Times New Roman"/>
          <w:i/>
          <w:color w:val="000000"/>
          <w:sz w:val="24"/>
          <w:szCs w:val="24"/>
        </w:rPr>
      </w:pPr>
      <w:r w:rsidRPr="0009609E">
        <w:rPr>
          <w:rFonts w:ascii="Times New Roman" w:eastAsia="Calibri" w:hAnsi="Times New Roman" w:cs="Times New Roman"/>
          <w:color w:val="000000"/>
          <w:sz w:val="24"/>
          <w:szCs w:val="24"/>
        </w:rPr>
        <w:t xml:space="preserve">2013.gadā pieņemtais FDL izveido sistēmu vispārējās valdības bilances mērķu noteikšanai saskaņā ar </w:t>
      </w:r>
      <w:r w:rsidRPr="0009609E">
        <w:rPr>
          <w:rFonts w:ascii="Times New Roman" w:eastAsia="Calibri" w:hAnsi="Times New Roman" w:cs="Times New Roman"/>
          <w:i/>
          <w:color w:val="000000"/>
          <w:sz w:val="24"/>
          <w:szCs w:val="24"/>
        </w:rPr>
        <w:t>lejupvērsto budžeta bilances plānošanas metodi.</w:t>
      </w:r>
    </w:p>
    <w:p w14:paraId="51D0A8CC"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Šī metode ļauj izvirzīt strukturālās bilances mērķus katram gadam, tā lai tie atbilstu SIP nosacījumiem un attiecīgi aprēķināt minimālās nominālās bilances (maksimāli pieļaujamo vispārējās valdības deficītu, vai minimālo pieļaujamo vispārējās valdības budžeta pārpalikumu).</w:t>
      </w:r>
    </w:p>
    <w:p w14:paraId="4CE86C28"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lastRenderedPageBreak/>
        <w:t xml:space="preserve">Vienlaicīgi tiek piemērota arī </w:t>
      </w:r>
      <w:r w:rsidRPr="0009609E">
        <w:rPr>
          <w:rFonts w:ascii="Times New Roman" w:eastAsia="Calibri" w:hAnsi="Times New Roman" w:cs="Times New Roman"/>
          <w:i/>
          <w:color w:val="000000"/>
          <w:sz w:val="24"/>
          <w:szCs w:val="24"/>
        </w:rPr>
        <w:t>augšupvērstā budžeta bilances plānošanas metode</w:t>
      </w:r>
      <w:r w:rsidRPr="0009609E">
        <w:rPr>
          <w:rFonts w:ascii="Times New Roman" w:eastAsia="Calibri" w:hAnsi="Times New Roman" w:cs="Times New Roman"/>
          <w:color w:val="000000"/>
          <w:sz w:val="24"/>
          <w:szCs w:val="24"/>
        </w:rPr>
        <w:t xml:space="preserve">, saskaņā ar kuru tiek prognozēta vispārējās valdības budžeta bilance </w:t>
      </w:r>
      <w:r w:rsidRPr="0009609E">
        <w:rPr>
          <w:rFonts w:ascii="Times New Roman" w:eastAsia="Calibri" w:hAnsi="Times New Roman" w:cs="Times New Roman"/>
          <w:b/>
          <w:color w:val="000000"/>
          <w:sz w:val="24"/>
          <w:szCs w:val="24"/>
        </w:rPr>
        <w:t>nemainīgas politikas gadījumā</w:t>
      </w:r>
      <w:r w:rsidRPr="0009609E">
        <w:rPr>
          <w:rFonts w:ascii="Times New Roman" w:eastAsia="Calibri" w:hAnsi="Times New Roman" w:cs="Times New Roman"/>
          <w:color w:val="000000"/>
          <w:sz w:val="24"/>
          <w:szCs w:val="24"/>
        </w:rPr>
        <w:t>. Arī saskaņā ar šo metodi tiek prognozēta vispārējās valdības budžeta bilance.</w:t>
      </w:r>
    </w:p>
    <w:p w14:paraId="0B8A1067"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Vispārīgā gadījumā budžeta bilances pēc abām metodēm atšķiras. Ja budžeta bilance pēc pirmās metodes</w:t>
      </w:r>
      <w:r w:rsidRPr="0009609E">
        <w:rPr>
          <w:rFonts w:ascii="Times New Roman" w:eastAsia="Calibri" w:hAnsi="Times New Roman" w:cs="Times New Roman"/>
          <w:i/>
          <w:color w:val="000000"/>
          <w:sz w:val="24"/>
          <w:szCs w:val="24"/>
        </w:rPr>
        <w:t xml:space="preserve"> </w:t>
      </w:r>
      <w:r w:rsidRPr="0009609E">
        <w:rPr>
          <w:rFonts w:ascii="Times New Roman" w:eastAsia="Calibri" w:hAnsi="Times New Roman" w:cs="Times New Roman"/>
          <w:color w:val="000000"/>
          <w:sz w:val="24"/>
          <w:szCs w:val="24"/>
        </w:rPr>
        <w:t>ir lielāka, kā</w:t>
      </w:r>
      <w:r w:rsidRPr="0009609E">
        <w:rPr>
          <w:rFonts w:ascii="Times New Roman" w:eastAsia="Calibri" w:hAnsi="Times New Roman" w:cs="Times New Roman"/>
          <w:i/>
          <w:color w:val="000000"/>
          <w:sz w:val="24"/>
          <w:szCs w:val="24"/>
        </w:rPr>
        <w:t xml:space="preserve"> </w:t>
      </w:r>
      <w:r w:rsidRPr="0009609E">
        <w:rPr>
          <w:rFonts w:ascii="Times New Roman" w:eastAsia="Calibri" w:hAnsi="Times New Roman" w:cs="Times New Roman"/>
          <w:color w:val="000000"/>
          <w:sz w:val="24"/>
          <w:szCs w:val="24"/>
        </w:rPr>
        <w:t>pēc otrās metodes, valdības rīcībā ir tā saucamā fiskālā telpa, jeb iespējas palielināt izdevumus jaunām izdevumu politikas iniciatīvām, vai samazināt ieņēmumus jaunām nodokļu politikas iniciatīvām. Ja budžeta bilance pēc  pirmās metodes</w:t>
      </w:r>
      <w:r w:rsidRPr="0009609E">
        <w:rPr>
          <w:rFonts w:ascii="Times New Roman" w:eastAsia="Calibri" w:hAnsi="Times New Roman" w:cs="Times New Roman"/>
          <w:i/>
          <w:color w:val="000000"/>
          <w:sz w:val="24"/>
          <w:szCs w:val="24"/>
        </w:rPr>
        <w:t xml:space="preserve"> </w:t>
      </w:r>
      <w:r w:rsidRPr="0009609E">
        <w:rPr>
          <w:rFonts w:ascii="Times New Roman" w:eastAsia="Calibri" w:hAnsi="Times New Roman" w:cs="Times New Roman"/>
          <w:color w:val="000000"/>
          <w:sz w:val="24"/>
          <w:szCs w:val="24"/>
        </w:rPr>
        <w:t>ir mazāka, kā</w:t>
      </w:r>
      <w:r w:rsidRPr="0009609E">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pēc otrās metodes, valdībai</w:t>
      </w:r>
      <w:r w:rsidRPr="0009609E">
        <w:rPr>
          <w:rFonts w:ascii="Times New Roman" w:eastAsia="Calibri" w:hAnsi="Times New Roman" w:cs="Times New Roman"/>
          <w:color w:val="000000"/>
          <w:sz w:val="24"/>
          <w:szCs w:val="24"/>
        </w:rPr>
        <w:t xml:space="preserve"> ir jāveic konsolidācijas pasākumi, pieņemot diskrecionāros pasākumus izdevumu samazināšanai vai ieņēmumu palielināšanai.</w:t>
      </w:r>
    </w:p>
    <w:p w14:paraId="4AA3F90A"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Ņemot vērā, ka Latvija ir sekmīgi pārvarējusi krīzi un nu jau vairākus gadus ir viena no straujāk augošajām ES dalībvalstīm, to, ka valsts parāds ir zem 60% un to, ka Latvija jau 2012.gadā s</w:t>
      </w:r>
      <w:r>
        <w:rPr>
          <w:rFonts w:ascii="Times New Roman" w:eastAsia="Calibri" w:hAnsi="Times New Roman" w:cs="Times New Roman"/>
          <w:color w:val="000000"/>
          <w:sz w:val="24"/>
          <w:szCs w:val="24"/>
        </w:rPr>
        <w:t>asniedza savu VTM, iepriekšējā K</w:t>
      </w:r>
      <w:r w:rsidRPr="0009609E">
        <w:rPr>
          <w:rFonts w:ascii="Times New Roman" w:eastAsia="Calibri" w:hAnsi="Times New Roman" w:cs="Times New Roman"/>
          <w:color w:val="000000"/>
          <w:sz w:val="24"/>
          <w:szCs w:val="24"/>
        </w:rPr>
        <w:t>onverģences programma 2013.- 2016.gadam uzrādīja pozitīvu fiskālo telpu.</w:t>
      </w:r>
    </w:p>
    <w:p w14:paraId="0F95C243"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Latvijā galvenie budžeta politikas lēmumi, kas skar vidēja termiņa izdevumu un ieņēmumu politiku tiek pieņemti nevis pavasarī, bet rudenī kopā ar gadskārtējo valsts budžeta likumu. Šajā laikā tiek izstrādāts ne tikai gadskārtējais valsts budžeta likums, bet </w:t>
      </w:r>
      <w:r>
        <w:rPr>
          <w:rFonts w:ascii="Times New Roman" w:eastAsia="Calibri" w:hAnsi="Times New Roman" w:cs="Times New Roman"/>
          <w:color w:val="000000"/>
          <w:sz w:val="24"/>
          <w:szCs w:val="24"/>
        </w:rPr>
        <w:t>arī</w:t>
      </w:r>
      <w:r w:rsidRPr="0009609E">
        <w:rPr>
          <w:rFonts w:ascii="Times New Roman" w:eastAsia="Calibri" w:hAnsi="Times New Roman" w:cs="Times New Roman"/>
          <w:color w:val="000000"/>
          <w:sz w:val="24"/>
          <w:szCs w:val="24"/>
        </w:rPr>
        <w:t xml:space="preserve"> Ietvara likums turpmākajiem 3 gadiem. Līdz ar to</w:t>
      </w:r>
      <w:r>
        <w:rPr>
          <w:rFonts w:ascii="Times New Roman" w:eastAsia="Calibri" w:hAnsi="Times New Roman" w:cs="Times New Roman"/>
          <w:color w:val="000000"/>
          <w:sz w:val="24"/>
          <w:szCs w:val="24"/>
        </w:rPr>
        <w:t xml:space="preserve"> starplaikā starp iepriekšējās K</w:t>
      </w:r>
      <w:r w:rsidRPr="0009609E">
        <w:rPr>
          <w:rFonts w:ascii="Times New Roman" w:eastAsia="Calibri" w:hAnsi="Times New Roman" w:cs="Times New Roman"/>
          <w:color w:val="000000"/>
          <w:sz w:val="24"/>
          <w:szCs w:val="24"/>
        </w:rPr>
        <w:t xml:space="preserve">onverģences programmas izstrādes brīdi un šīs Stabilitātes programmas izstrādes brīdi ir pieņemti būtiski fiskālās politikas lēmumi, kas ir aizpildījuši visu 2015.gada fiskālo telpu un veido pamatu šīs Stabilitātes programmas stratēģijas īstenošanai. </w:t>
      </w:r>
    </w:p>
    <w:p w14:paraId="7F4A3EB5" w14:textId="77777777" w:rsidR="004C7E0F" w:rsidRPr="0009609E" w:rsidRDefault="004C7E0F" w:rsidP="004C7E0F">
      <w:pPr>
        <w:spacing w:before="320" w:after="120" w:line="240" w:lineRule="auto"/>
        <w:ind w:firstLine="720"/>
        <w:jc w:val="both"/>
        <w:rPr>
          <w:rFonts w:ascii="Times New Roman" w:eastAsia="Calibri" w:hAnsi="Times New Roman" w:cs="Times New Roman"/>
          <w:b/>
          <w:color w:val="000000"/>
          <w:sz w:val="24"/>
          <w:szCs w:val="24"/>
        </w:rPr>
      </w:pPr>
      <w:r w:rsidRPr="0009609E">
        <w:rPr>
          <w:rFonts w:ascii="Times New Roman" w:eastAsia="Calibri" w:hAnsi="Times New Roman" w:cs="Times New Roman"/>
          <w:b/>
          <w:color w:val="000000"/>
          <w:sz w:val="24"/>
          <w:szCs w:val="24"/>
        </w:rPr>
        <w:t>Vidēja termiņa mērķis</w:t>
      </w:r>
    </w:p>
    <w:p w14:paraId="5E5492B3" w14:textId="485AB036"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Attiecībā uz </w:t>
      </w:r>
      <w:r w:rsidR="00252E16">
        <w:rPr>
          <w:rFonts w:ascii="Times New Roman" w:eastAsia="Calibri" w:hAnsi="Times New Roman" w:cs="Times New Roman"/>
          <w:color w:val="000000"/>
          <w:sz w:val="24"/>
          <w:szCs w:val="24"/>
        </w:rPr>
        <w:t>VTM</w:t>
      </w:r>
      <w:r w:rsidRPr="0009609E">
        <w:rPr>
          <w:rFonts w:ascii="Times New Roman" w:eastAsia="Calibri" w:hAnsi="Times New Roman" w:cs="Times New Roman"/>
          <w:color w:val="000000"/>
          <w:sz w:val="24"/>
          <w:szCs w:val="24"/>
        </w:rPr>
        <w:t xml:space="preserve"> tiek saglabāta iepriekšējā Stabilitātes programmā noteiktā pieeja nosakot divus atšķirīgus VTM, nacionālo VTM, kas saglabājas -0,5% no IKP un VTM </w:t>
      </w:r>
      <w:r>
        <w:rPr>
          <w:rFonts w:ascii="Times New Roman" w:eastAsia="Calibri" w:hAnsi="Times New Roman" w:cs="Times New Roman"/>
          <w:color w:val="000000"/>
          <w:sz w:val="24"/>
          <w:szCs w:val="24"/>
        </w:rPr>
        <w:t>SIP</w:t>
      </w:r>
      <w:r w:rsidRPr="0009609E">
        <w:rPr>
          <w:rFonts w:ascii="Times New Roman" w:eastAsia="Calibri" w:hAnsi="Times New Roman" w:cs="Times New Roman"/>
          <w:color w:val="000000"/>
          <w:sz w:val="24"/>
          <w:szCs w:val="24"/>
        </w:rPr>
        <w:t xml:space="preserve"> izpratnē, jeb VTM</w:t>
      </w:r>
      <w:r w:rsidRPr="002D6792">
        <w:rPr>
          <w:rFonts w:ascii="Times New Roman" w:eastAsia="Calibri" w:hAnsi="Times New Roman" w:cs="Times New Roman"/>
          <w:color w:val="000000"/>
          <w:sz w:val="24"/>
          <w:szCs w:val="24"/>
          <w:vertAlign w:val="superscript"/>
        </w:rPr>
        <w:t>SIP</w:t>
      </w:r>
      <w:r w:rsidRPr="0009609E">
        <w:rPr>
          <w:rFonts w:ascii="Times New Roman" w:eastAsia="Calibri" w:hAnsi="Times New Roman" w:cs="Times New Roman"/>
          <w:color w:val="000000"/>
          <w:sz w:val="24"/>
          <w:szCs w:val="24"/>
        </w:rPr>
        <w:t xml:space="preserve"> , kas tiek noteikts -1,0% no IKP līmenī.</w:t>
      </w:r>
    </w:p>
    <w:p w14:paraId="6D8CBB0F" w14:textId="77777777" w:rsidR="004C7E0F" w:rsidRPr="0009609E" w:rsidRDefault="004C7E0F" w:rsidP="004C7E0F">
      <w:pPr>
        <w:spacing w:before="320" w:after="120" w:line="240" w:lineRule="auto"/>
        <w:ind w:firstLine="720"/>
        <w:jc w:val="both"/>
        <w:rPr>
          <w:rFonts w:ascii="Times New Roman" w:eastAsia="Calibri" w:hAnsi="Times New Roman" w:cs="Times New Roman"/>
          <w:b/>
          <w:color w:val="000000"/>
          <w:sz w:val="24"/>
          <w:szCs w:val="24"/>
        </w:rPr>
      </w:pPr>
      <w:r w:rsidRPr="0009609E">
        <w:rPr>
          <w:rFonts w:ascii="Times New Roman" w:eastAsia="Calibri" w:hAnsi="Times New Roman" w:cs="Times New Roman"/>
          <w:b/>
          <w:color w:val="000000"/>
          <w:sz w:val="24"/>
          <w:szCs w:val="24"/>
        </w:rPr>
        <w:t>2016., 2017. un 2018.gadu strukturālās bilances mērķi</w:t>
      </w:r>
    </w:p>
    <w:p w14:paraId="4AF12D14"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Strukturālās bilances mērķu noteikšanā tiek piemērota  vairāku pakāpju metode. </w:t>
      </w:r>
    </w:p>
    <w:p w14:paraId="215B3135"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Vispirms par atskaites punktu tiek ņemts VTM (tiek veidoti divi scen</w:t>
      </w:r>
      <w:r>
        <w:rPr>
          <w:rFonts w:ascii="Times New Roman" w:eastAsia="Calibri" w:hAnsi="Times New Roman" w:cs="Times New Roman"/>
          <w:color w:val="000000"/>
          <w:sz w:val="24"/>
          <w:szCs w:val="24"/>
        </w:rPr>
        <w:t xml:space="preserve">āriji – viens ar nacionālo VTM </w:t>
      </w:r>
      <w:r w:rsidRPr="0009609E">
        <w:rPr>
          <w:rFonts w:ascii="Times New Roman" w:eastAsia="Calibri" w:hAnsi="Times New Roman" w:cs="Times New Roman"/>
          <w:color w:val="000000"/>
          <w:sz w:val="24"/>
          <w:szCs w:val="24"/>
        </w:rPr>
        <w:t xml:space="preserve">un otrs ar VTM </w:t>
      </w:r>
      <w:r>
        <w:rPr>
          <w:rFonts w:ascii="Times New Roman" w:eastAsia="Calibri" w:hAnsi="Times New Roman" w:cs="Times New Roman"/>
          <w:color w:val="000000"/>
          <w:sz w:val="24"/>
          <w:szCs w:val="24"/>
        </w:rPr>
        <w:t>SIP izpratnē</w:t>
      </w:r>
      <w:r w:rsidRPr="0009609E">
        <w:rPr>
          <w:rFonts w:ascii="Times New Roman" w:eastAsia="Calibri" w:hAnsi="Times New Roman" w:cs="Times New Roman"/>
          <w:color w:val="000000"/>
          <w:sz w:val="24"/>
          <w:szCs w:val="24"/>
        </w:rPr>
        <w:t xml:space="preserve">), kam tiek piemērotas atkāpes, kas izriet no iemaksu palielināšanās 2. pensiju līmenī. Iegūtais rezultāts pēc tam tiek papildus koriģēts ar atkāpēm, ko paredz </w:t>
      </w:r>
      <w:r>
        <w:rPr>
          <w:rFonts w:ascii="Times New Roman" w:eastAsia="Calibri" w:hAnsi="Times New Roman" w:cs="Times New Roman"/>
          <w:color w:val="000000"/>
          <w:sz w:val="24"/>
          <w:szCs w:val="24"/>
        </w:rPr>
        <w:t>Eiropas Komisijas (</w:t>
      </w:r>
      <w:r w:rsidRPr="0009609E">
        <w:rPr>
          <w:rFonts w:ascii="Times New Roman" w:eastAsia="Calibri" w:hAnsi="Times New Roman" w:cs="Times New Roman"/>
          <w:color w:val="000000"/>
          <w:sz w:val="24"/>
          <w:szCs w:val="24"/>
        </w:rPr>
        <w:t>EK</w:t>
      </w:r>
      <w:r>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komunikācija par esošā SIP regulējuma elastības labāku piemērošanu attiecībā uz strukturālajām reformām.</w:t>
      </w:r>
    </w:p>
    <w:p w14:paraId="427B8908"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Kā jau tika minēts, iepriekšējā Stabilitātes programmā tika noteikts, ka Latvijas fiskālajā politikā t</w:t>
      </w:r>
      <w:r>
        <w:rPr>
          <w:rFonts w:ascii="Times New Roman" w:eastAsia="Calibri" w:hAnsi="Times New Roman" w:cs="Times New Roman"/>
          <w:color w:val="000000"/>
          <w:sz w:val="24"/>
          <w:szCs w:val="24"/>
        </w:rPr>
        <w:t>iek ieviesti divi atšķirīgi VTM</w:t>
      </w:r>
      <w:r w:rsidRPr="0009609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09609E">
        <w:rPr>
          <w:rFonts w:ascii="Times New Roman" w:eastAsia="Calibri" w:hAnsi="Times New Roman" w:cs="Times New Roman"/>
          <w:color w:val="000000"/>
          <w:sz w:val="24"/>
          <w:szCs w:val="24"/>
        </w:rPr>
        <w:t>Mērķis šādai pieejai bija izveidot drošības spilvenu, kas nodrošinātu, ka noteiktie strukturālās bilances mērķi ir saskaņā ne tik</w:t>
      </w:r>
      <w:r>
        <w:rPr>
          <w:rFonts w:ascii="Times New Roman" w:eastAsia="Calibri" w:hAnsi="Times New Roman" w:cs="Times New Roman"/>
          <w:color w:val="000000"/>
          <w:sz w:val="24"/>
          <w:szCs w:val="24"/>
        </w:rPr>
        <w:t>ai ar nacionālo pieeju, bet arī, lai</w:t>
      </w:r>
      <w:r w:rsidRPr="0009609E">
        <w:rPr>
          <w:rFonts w:ascii="Times New Roman" w:eastAsia="Calibri" w:hAnsi="Times New Roman" w:cs="Times New Roman"/>
          <w:color w:val="000000"/>
          <w:sz w:val="24"/>
          <w:szCs w:val="24"/>
        </w:rPr>
        <w:t xml:space="preserve"> pārrēķinot izlaižu starpību pēc E</w:t>
      </w:r>
      <w:r>
        <w:rPr>
          <w:rFonts w:ascii="Times New Roman" w:eastAsia="Calibri" w:hAnsi="Times New Roman" w:cs="Times New Roman"/>
          <w:color w:val="000000"/>
          <w:sz w:val="24"/>
          <w:szCs w:val="24"/>
        </w:rPr>
        <w:t xml:space="preserve">K standartizētās metodoloģijas, </w:t>
      </w:r>
      <w:r w:rsidRPr="0009609E">
        <w:rPr>
          <w:rFonts w:ascii="Times New Roman" w:eastAsia="Calibri" w:hAnsi="Times New Roman" w:cs="Times New Roman"/>
          <w:color w:val="000000"/>
          <w:sz w:val="24"/>
          <w:szCs w:val="24"/>
        </w:rPr>
        <w:t xml:space="preserve">tiktu nodrošināta atbilstība SIP nosacījumiem. </w:t>
      </w:r>
    </w:p>
    <w:p w14:paraId="1844DC63"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Augstāk minētais drošības spilvens nodrošina </w:t>
      </w:r>
      <w:r>
        <w:rPr>
          <w:rFonts w:ascii="Times New Roman" w:eastAsia="Calibri" w:hAnsi="Times New Roman" w:cs="Times New Roman"/>
          <w:color w:val="000000"/>
          <w:sz w:val="24"/>
          <w:szCs w:val="24"/>
        </w:rPr>
        <w:t>strukturālās bilances mērķi</w:t>
      </w:r>
      <w:r w:rsidRPr="0009609E">
        <w:rPr>
          <w:rFonts w:ascii="Times New Roman" w:eastAsia="Calibri" w:hAnsi="Times New Roman" w:cs="Times New Roman"/>
          <w:color w:val="000000"/>
          <w:sz w:val="24"/>
          <w:szCs w:val="24"/>
        </w:rPr>
        <w:t xml:space="preserve"> līdz brīdim, kamēr bilances cikliskās komponentes atšķirība, to aprēķinot pēc nacionālās un EK standartizētās metodoloģijas</w:t>
      </w:r>
      <w:r>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nepārsniedz 0,5%. Šīs </w:t>
      </w:r>
      <w:r>
        <w:rPr>
          <w:rFonts w:ascii="Times New Roman" w:eastAsia="Calibri" w:hAnsi="Times New Roman" w:cs="Times New Roman"/>
          <w:color w:val="000000"/>
          <w:sz w:val="24"/>
          <w:szCs w:val="24"/>
        </w:rPr>
        <w:t>S</w:t>
      </w:r>
      <w:r w:rsidRPr="0009609E">
        <w:rPr>
          <w:rFonts w:ascii="Times New Roman" w:eastAsia="Calibri" w:hAnsi="Times New Roman" w:cs="Times New Roman"/>
          <w:color w:val="000000"/>
          <w:sz w:val="24"/>
          <w:szCs w:val="24"/>
        </w:rPr>
        <w:t xml:space="preserve">tabilitātes programmas izstrādes laikā minētā atšķirība pārsniedz šo robežu un tāpēc strukturālās bilances mērķa noteikšanā tiek </w:t>
      </w:r>
      <w:r>
        <w:rPr>
          <w:rFonts w:ascii="Times New Roman" w:eastAsia="Calibri" w:hAnsi="Times New Roman" w:cs="Times New Roman"/>
          <w:color w:val="000000"/>
          <w:sz w:val="24"/>
          <w:szCs w:val="24"/>
        </w:rPr>
        <w:t xml:space="preserve">izmantota komplicētāka metode. </w:t>
      </w:r>
    </w:p>
    <w:p w14:paraId="24C78BB2" w14:textId="36DFBC4A"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Šajā Stabilitātes programmā strukturālās bilances mērķi vidējam termiņam tiek noteikti pēc principa, kas paredz vienlaicīgi ievērot fiskālos nosacījumus gan pēc nacionālās metodoloģijas, gan EK standartizētās metodoloģijas, neatkarīgi no dažādu metodoloģiju izsauktajām bilances cikliskās</w:t>
      </w:r>
      <w:r w:rsidR="00612F17">
        <w:rPr>
          <w:rFonts w:ascii="Times New Roman" w:eastAsia="Calibri" w:hAnsi="Times New Roman" w:cs="Times New Roman"/>
          <w:color w:val="000000"/>
          <w:sz w:val="24"/>
          <w:szCs w:val="24"/>
        </w:rPr>
        <w:t xml:space="preserve"> komponentes atšķirībām. </w:t>
      </w:r>
      <w:r w:rsidRPr="0009609E">
        <w:rPr>
          <w:rFonts w:ascii="Times New Roman" w:eastAsia="Calibri" w:hAnsi="Times New Roman" w:cs="Times New Roman"/>
          <w:color w:val="000000"/>
          <w:sz w:val="24"/>
          <w:szCs w:val="24"/>
        </w:rPr>
        <w:t xml:space="preserve">Tāpat, tiek pārskatīti atkāpju no VTM noteikšanas principi attiecībā uz iemaksām pensiju 2.līmenī, kā arī ir ietvertas atkāpes </w:t>
      </w:r>
      <w:r w:rsidRPr="0009609E">
        <w:rPr>
          <w:rFonts w:ascii="Times New Roman" w:eastAsia="Calibri" w:hAnsi="Times New Roman" w:cs="Times New Roman"/>
          <w:color w:val="000000"/>
          <w:sz w:val="24"/>
          <w:szCs w:val="24"/>
        </w:rPr>
        <w:lastRenderedPageBreak/>
        <w:t>strukturālajām reformām, atbilstoši EK komunikācijā par esošā SIP regulējuma elastības labāku piemērošanu.</w:t>
      </w:r>
    </w:p>
    <w:p w14:paraId="1646FB51" w14:textId="77777777" w:rsidR="004C7E0F" w:rsidRPr="00C10259"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Turpmākajās sadaļās ir sniegts detalizētāks izklāsts par strukturālās bilanc</w:t>
      </w:r>
      <w:r>
        <w:rPr>
          <w:rFonts w:ascii="Times New Roman" w:eastAsia="Calibri" w:hAnsi="Times New Roman" w:cs="Times New Roman"/>
          <w:color w:val="000000"/>
          <w:sz w:val="24"/>
          <w:szCs w:val="24"/>
        </w:rPr>
        <w:t>es mērķu noteikšanas algoritmu.</w:t>
      </w:r>
    </w:p>
    <w:p w14:paraId="3C240920" w14:textId="77777777" w:rsidR="004C7E0F" w:rsidRPr="00075DEB" w:rsidRDefault="004C7E0F" w:rsidP="004C7E0F">
      <w:pPr>
        <w:spacing w:before="320" w:after="120" w:line="240" w:lineRule="auto"/>
        <w:ind w:firstLine="720"/>
        <w:jc w:val="both"/>
        <w:rPr>
          <w:rFonts w:ascii="Times New Roman" w:eastAsia="Calibri" w:hAnsi="Times New Roman" w:cs="Times New Roman"/>
          <w:b/>
          <w:color w:val="000000"/>
          <w:sz w:val="24"/>
          <w:szCs w:val="24"/>
        </w:rPr>
      </w:pPr>
      <w:r w:rsidRPr="00075DEB">
        <w:rPr>
          <w:rFonts w:ascii="Times New Roman" w:eastAsia="Calibri" w:hAnsi="Times New Roman" w:cs="Times New Roman"/>
          <w:b/>
          <w:color w:val="000000"/>
          <w:sz w:val="24"/>
          <w:szCs w:val="24"/>
        </w:rPr>
        <w:t xml:space="preserve">Bilances mērķi, atbilstoši SIP metodoloģijai </w:t>
      </w:r>
    </w:p>
    <w:p w14:paraId="4D7EDB07" w14:textId="40473C59" w:rsidR="004C7E0F"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Šajā sadaļā tiek noskaidrots</w:t>
      </w:r>
      <w:r w:rsidR="00612F17">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kāds var būt maksimāli pieļaujamais strukturālās bilances mērķis atbilstoši iepriekš minētajai SIP izpratnei. Kā jau iepriekš tika minēts, izejas pozīcija struktur</w:t>
      </w:r>
      <w:r>
        <w:rPr>
          <w:rFonts w:ascii="Times New Roman" w:eastAsia="Calibri" w:hAnsi="Times New Roman" w:cs="Times New Roman"/>
          <w:color w:val="000000"/>
          <w:sz w:val="24"/>
          <w:szCs w:val="24"/>
        </w:rPr>
        <w:t>ālās bilances mērķa noteikšanai</w:t>
      </w:r>
      <w:r w:rsidRPr="0009609E">
        <w:rPr>
          <w:rFonts w:ascii="Times New Roman" w:eastAsia="Calibri" w:hAnsi="Times New Roman" w:cs="Times New Roman"/>
          <w:color w:val="000000"/>
          <w:sz w:val="24"/>
          <w:szCs w:val="24"/>
        </w:rPr>
        <w:t xml:space="preserve"> atbilstoši SIP izpratnei ir VTM -1% no IKP. Zemāk esošajā tabulā ir atspoguļotas turpmākās korekcijas.</w:t>
      </w:r>
    </w:p>
    <w:p w14:paraId="54D9EC10" w14:textId="278C216B" w:rsidR="0009609E" w:rsidRPr="00075DEB" w:rsidRDefault="004C6CC5" w:rsidP="005812B4">
      <w:pPr>
        <w:spacing w:before="240" w:after="12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3.1</w:t>
      </w:r>
      <w:r w:rsidR="0009609E" w:rsidRPr="0009609E">
        <w:rPr>
          <w:rFonts w:ascii="Times New Roman" w:eastAsia="Calibri" w:hAnsi="Times New Roman" w:cs="Times New Roman"/>
          <w:b/>
          <w:color w:val="000000"/>
          <w:sz w:val="24"/>
          <w:szCs w:val="24"/>
        </w:rPr>
        <w:t>.tabula. Strukturālās bilances mē</w:t>
      </w:r>
      <w:r w:rsidR="00075DEB">
        <w:rPr>
          <w:rFonts w:ascii="Times New Roman" w:eastAsia="Calibri" w:hAnsi="Times New Roman" w:cs="Times New Roman"/>
          <w:b/>
          <w:color w:val="000000"/>
          <w:sz w:val="24"/>
          <w:szCs w:val="24"/>
        </w:rPr>
        <w:t xml:space="preserve">rķis, atbilstoši SIP izpratnei </w:t>
      </w:r>
    </w:p>
    <w:tbl>
      <w:tblPr>
        <w:tblStyle w:val="GridTable6ColorfulAccent1"/>
        <w:tblW w:w="9082" w:type="dxa"/>
        <w:jc w:val="center"/>
        <w:tblLook w:val="04A0" w:firstRow="1" w:lastRow="0" w:firstColumn="1" w:lastColumn="0" w:noHBand="0" w:noVBand="1"/>
      </w:tblPr>
      <w:tblGrid>
        <w:gridCol w:w="1843"/>
        <w:gridCol w:w="1265"/>
        <w:gridCol w:w="861"/>
        <w:gridCol w:w="851"/>
        <w:gridCol w:w="850"/>
        <w:gridCol w:w="851"/>
        <w:gridCol w:w="850"/>
        <w:gridCol w:w="861"/>
        <w:gridCol w:w="850"/>
      </w:tblGrid>
      <w:tr w:rsidR="0009609E" w:rsidRPr="00F05D16" w14:paraId="44716A8A" w14:textId="77777777" w:rsidTr="00F05D1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8" w:type="dxa"/>
            <w:gridSpan w:val="2"/>
            <w:noWrap/>
            <w:hideMark/>
          </w:tcPr>
          <w:p w14:paraId="4741F50F" w14:textId="77777777" w:rsidR="0009609E" w:rsidRPr="00F05D16" w:rsidRDefault="0009609E" w:rsidP="0009609E">
            <w:pPr>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61" w:type="dxa"/>
            <w:noWrap/>
            <w:hideMark/>
          </w:tcPr>
          <w:p w14:paraId="486312B8"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2013</w:t>
            </w:r>
          </w:p>
        </w:tc>
        <w:tc>
          <w:tcPr>
            <w:tcW w:w="851" w:type="dxa"/>
            <w:noWrap/>
            <w:hideMark/>
          </w:tcPr>
          <w:p w14:paraId="1BD2079E"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2014</w:t>
            </w:r>
          </w:p>
        </w:tc>
        <w:tc>
          <w:tcPr>
            <w:tcW w:w="850" w:type="dxa"/>
            <w:noWrap/>
            <w:hideMark/>
          </w:tcPr>
          <w:p w14:paraId="637B0C04"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2015</w:t>
            </w:r>
          </w:p>
        </w:tc>
        <w:tc>
          <w:tcPr>
            <w:tcW w:w="851" w:type="dxa"/>
            <w:noWrap/>
            <w:hideMark/>
          </w:tcPr>
          <w:p w14:paraId="0288EA92"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2016</w:t>
            </w:r>
          </w:p>
        </w:tc>
        <w:tc>
          <w:tcPr>
            <w:tcW w:w="850" w:type="dxa"/>
            <w:noWrap/>
            <w:hideMark/>
          </w:tcPr>
          <w:p w14:paraId="599B92D8"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2017</w:t>
            </w:r>
          </w:p>
        </w:tc>
        <w:tc>
          <w:tcPr>
            <w:tcW w:w="861" w:type="dxa"/>
            <w:noWrap/>
            <w:hideMark/>
          </w:tcPr>
          <w:p w14:paraId="405D3DF7"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2018</w:t>
            </w:r>
          </w:p>
        </w:tc>
        <w:tc>
          <w:tcPr>
            <w:tcW w:w="850" w:type="dxa"/>
            <w:noWrap/>
            <w:hideMark/>
          </w:tcPr>
          <w:p w14:paraId="541F00E0"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2019</w:t>
            </w:r>
          </w:p>
        </w:tc>
      </w:tr>
      <w:tr w:rsidR="0009609E" w:rsidRPr="00F05D16" w14:paraId="3A716929" w14:textId="77777777" w:rsidTr="00F05D16">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3108" w:type="dxa"/>
            <w:gridSpan w:val="2"/>
            <w:noWrap/>
            <w:hideMark/>
          </w:tcPr>
          <w:p w14:paraId="4E110FD1" w14:textId="77777777" w:rsidR="0009609E" w:rsidRPr="00F05D16" w:rsidRDefault="0009609E" w:rsidP="0009609E">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VTM</w:t>
            </w:r>
          </w:p>
        </w:tc>
        <w:tc>
          <w:tcPr>
            <w:tcW w:w="861" w:type="dxa"/>
            <w:noWrap/>
            <w:vAlign w:val="center"/>
            <w:hideMark/>
          </w:tcPr>
          <w:p w14:paraId="7F989D0A"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-1,00%</w:t>
            </w:r>
          </w:p>
        </w:tc>
        <w:tc>
          <w:tcPr>
            <w:tcW w:w="851" w:type="dxa"/>
            <w:noWrap/>
            <w:vAlign w:val="center"/>
            <w:hideMark/>
          </w:tcPr>
          <w:p w14:paraId="1CCD79DA"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-1,00%</w:t>
            </w:r>
          </w:p>
        </w:tc>
        <w:tc>
          <w:tcPr>
            <w:tcW w:w="850" w:type="dxa"/>
            <w:noWrap/>
            <w:vAlign w:val="center"/>
            <w:hideMark/>
          </w:tcPr>
          <w:p w14:paraId="11C8655B"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-1,00%</w:t>
            </w:r>
          </w:p>
        </w:tc>
        <w:tc>
          <w:tcPr>
            <w:tcW w:w="851" w:type="dxa"/>
            <w:noWrap/>
            <w:vAlign w:val="center"/>
            <w:hideMark/>
          </w:tcPr>
          <w:p w14:paraId="4FE520A2"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-1,00%</w:t>
            </w:r>
          </w:p>
        </w:tc>
        <w:tc>
          <w:tcPr>
            <w:tcW w:w="850" w:type="dxa"/>
            <w:noWrap/>
            <w:vAlign w:val="center"/>
            <w:hideMark/>
          </w:tcPr>
          <w:p w14:paraId="2421D91F"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-1,00%</w:t>
            </w:r>
          </w:p>
        </w:tc>
        <w:tc>
          <w:tcPr>
            <w:tcW w:w="861" w:type="dxa"/>
            <w:noWrap/>
            <w:vAlign w:val="center"/>
            <w:hideMark/>
          </w:tcPr>
          <w:p w14:paraId="41932DD0"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-1,00%</w:t>
            </w:r>
          </w:p>
        </w:tc>
        <w:tc>
          <w:tcPr>
            <w:tcW w:w="850" w:type="dxa"/>
            <w:noWrap/>
            <w:vAlign w:val="center"/>
            <w:hideMark/>
          </w:tcPr>
          <w:p w14:paraId="46515D34"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-1,00%</w:t>
            </w:r>
          </w:p>
        </w:tc>
      </w:tr>
      <w:tr w:rsidR="0009609E" w:rsidRPr="00F05D16" w14:paraId="71A1C668" w14:textId="77777777" w:rsidTr="00F05D16">
        <w:trPr>
          <w:trHeight w:val="256"/>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BDC187F" w14:textId="77777777" w:rsidR="0009609E" w:rsidRPr="00F05D16" w:rsidRDefault="0009609E" w:rsidP="0009609E">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Pieļaujamās atkāpes</w:t>
            </w:r>
          </w:p>
        </w:tc>
        <w:tc>
          <w:tcPr>
            <w:tcW w:w="1265" w:type="dxa"/>
            <w:noWrap/>
            <w:hideMark/>
          </w:tcPr>
          <w:p w14:paraId="35A4885E"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no 2% uz 4%</w:t>
            </w:r>
          </w:p>
        </w:tc>
        <w:tc>
          <w:tcPr>
            <w:tcW w:w="861" w:type="dxa"/>
            <w:shd w:val="clear" w:color="auto" w:fill="D9D9D9" w:themeFill="background1" w:themeFillShade="D9"/>
            <w:noWrap/>
            <w:vAlign w:val="center"/>
            <w:hideMark/>
          </w:tcPr>
          <w:p w14:paraId="04105BE3"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-0,50%</w:t>
            </w:r>
          </w:p>
        </w:tc>
        <w:tc>
          <w:tcPr>
            <w:tcW w:w="851" w:type="dxa"/>
            <w:noWrap/>
            <w:vAlign w:val="center"/>
            <w:hideMark/>
          </w:tcPr>
          <w:p w14:paraId="02A1CFD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-0,50%</w:t>
            </w:r>
          </w:p>
        </w:tc>
        <w:tc>
          <w:tcPr>
            <w:tcW w:w="850" w:type="dxa"/>
            <w:noWrap/>
            <w:vAlign w:val="center"/>
            <w:hideMark/>
          </w:tcPr>
          <w:p w14:paraId="14AFEDD6"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-0,50%</w:t>
            </w:r>
          </w:p>
        </w:tc>
        <w:tc>
          <w:tcPr>
            <w:tcW w:w="851" w:type="dxa"/>
            <w:shd w:val="clear" w:color="auto" w:fill="D9D9D9" w:themeFill="background1" w:themeFillShade="D9"/>
            <w:noWrap/>
            <w:vAlign w:val="center"/>
            <w:hideMark/>
          </w:tcPr>
          <w:p w14:paraId="3C43E617"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0,00%</w:t>
            </w:r>
          </w:p>
        </w:tc>
        <w:tc>
          <w:tcPr>
            <w:tcW w:w="850" w:type="dxa"/>
            <w:noWrap/>
            <w:vAlign w:val="center"/>
            <w:hideMark/>
          </w:tcPr>
          <w:p w14:paraId="13DEC571"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61" w:type="dxa"/>
            <w:noWrap/>
            <w:vAlign w:val="center"/>
            <w:hideMark/>
          </w:tcPr>
          <w:p w14:paraId="644945A8"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0" w:type="dxa"/>
            <w:noWrap/>
            <w:vAlign w:val="center"/>
            <w:hideMark/>
          </w:tcPr>
          <w:p w14:paraId="6A02346A"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r>
      <w:tr w:rsidR="0009609E" w:rsidRPr="00F05D16" w14:paraId="6835CF22" w14:textId="77777777" w:rsidTr="00F05D16">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645864E" w14:textId="77777777" w:rsidR="0009609E" w:rsidRPr="00F05D16" w:rsidRDefault="0009609E" w:rsidP="0009609E">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 </w:t>
            </w:r>
          </w:p>
        </w:tc>
        <w:tc>
          <w:tcPr>
            <w:tcW w:w="1265" w:type="dxa"/>
            <w:noWrap/>
            <w:hideMark/>
          </w:tcPr>
          <w:p w14:paraId="143E485D" w14:textId="77777777" w:rsidR="0009609E" w:rsidRPr="00F05D16"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no 4% uz 5%</w:t>
            </w:r>
          </w:p>
        </w:tc>
        <w:tc>
          <w:tcPr>
            <w:tcW w:w="861" w:type="dxa"/>
            <w:noWrap/>
            <w:vAlign w:val="center"/>
            <w:hideMark/>
          </w:tcPr>
          <w:p w14:paraId="346ACC16"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1" w:type="dxa"/>
            <w:noWrap/>
            <w:vAlign w:val="center"/>
            <w:hideMark/>
          </w:tcPr>
          <w:p w14:paraId="00243998"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0" w:type="dxa"/>
            <w:shd w:val="clear" w:color="auto" w:fill="D9D9D9" w:themeFill="background1" w:themeFillShade="D9"/>
            <w:noWrap/>
            <w:vAlign w:val="center"/>
            <w:hideMark/>
          </w:tcPr>
          <w:p w14:paraId="08C22848"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-0,27%</w:t>
            </w:r>
          </w:p>
        </w:tc>
        <w:tc>
          <w:tcPr>
            <w:tcW w:w="851" w:type="dxa"/>
            <w:noWrap/>
            <w:vAlign w:val="center"/>
            <w:hideMark/>
          </w:tcPr>
          <w:p w14:paraId="1B8FFE25"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-0,27%</w:t>
            </w:r>
          </w:p>
        </w:tc>
        <w:tc>
          <w:tcPr>
            <w:tcW w:w="850" w:type="dxa"/>
            <w:noWrap/>
            <w:vAlign w:val="center"/>
            <w:hideMark/>
          </w:tcPr>
          <w:p w14:paraId="7E1584D4"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-0,27%</w:t>
            </w:r>
          </w:p>
        </w:tc>
        <w:tc>
          <w:tcPr>
            <w:tcW w:w="861" w:type="dxa"/>
            <w:shd w:val="clear" w:color="auto" w:fill="D9D9D9" w:themeFill="background1" w:themeFillShade="D9"/>
            <w:noWrap/>
            <w:vAlign w:val="center"/>
            <w:hideMark/>
          </w:tcPr>
          <w:p w14:paraId="1A95C133"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0,00%</w:t>
            </w:r>
          </w:p>
        </w:tc>
        <w:tc>
          <w:tcPr>
            <w:tcW w:w="850" w:type="dxa"/>
            <w:noWrap/>
            <w:vAlign w:val="center"/>
            <w:hideMark/>
          </w:tcPr>
          <w:p w14:paraId="7E218D47"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r>
      <w:tr w:rsidR="0009609E" w:rsidRPr="00F05D16" w14:paraId="45A49D16" w14:textId="77777777" w:rsidTr="00F05D16">
        <w:trPr>
          <w:trHeight w:val="136"/>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73582C62" w14:textId="77777777" w:rsidR="0009609E" w:rsidRPr="00F05D16" w:rsidRDefault="0009609E" w:rsidP="0009609E">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 </w:t>
            </w:r>
          </w:p>
        </w:tc>
        <w:tc>
          <w:tcPr>
            <w:tcW w:w="1265" w:type="dxa"/>
            <w:noWrap/>
            <w:hideMark/>
          </w:tcPr>
          <w:p w14:paraId="18AB8E0F"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no 5% uz 6%</w:t>
            </w:r>
          </w:p>
        </w:tc>
        <w:tc>
          <w:tcPr>
            <w:tcW w:w="861" w:type="dxa"/>
            <w:noWrap/>
            <w:vAlign w:val="center"/>
            <w:hideMark/>
          </w:tcPr>
          <w:p w14:paraId="0875A301"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1" w:type="dxa"/>
            <w:noWrap/>
            <w:vAlign w:val="center"/>
            <w:hideMark/>
          </w:tcPr>
          <w:p w14:paraId="23FB10C4"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0" w:type="dxa"/>
            <w:noWrap/>
            <w:vAlign w:val="center"/>
            <w:hideMark/>
          </w:tcPr>
          <w:p w14:paraId="71BEF9E7"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1" w:type="dxa"/>
            <w:shd w:val="clear" w:color="auto" w:fill="D9D9D9" w:themeFill="background1" w:themeFillShade="D9"/>
            <w:noWrap/>
            <w:vAlign w:val="center"/>
            <w:hideMark/>
          </w:tcPr>
          <w:p w14:paraId="468616CB"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-0,29%</w:t>
            </w:r>
          </w:p>
        </w:tc>
        <w:tc>
          <w:tcPr>
            <w:tcW w:w="850" w:type="dxa"/>
            <w:noWrap/>
            <w:vAlign w:val="center"/>
            <w:hideMark/>
          </w:tcPr>
          <w:p w14:paraId="21253799"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-0,29%</w:t>
            </w:r>
          </w:p>
        </w:tc>
        <w:tc>
          <w:tcPr>
            <w:tcW w:w="861" w:type="dxa"/>
            <w:noWrap/>
            <w:vAlign w:val="center"/>
            <w:hideMark/>
          </w:tcPr>
          <w:p w14:paraId="2BD2B7D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-0,29%</w:t>
            </w:r>
          </w:p>
        </w:tc>
        <w:tc>
          <w:tcPr>
            <w:tcW w:w="850" w:type="dxa"/>
            <w:shd w:val="clear" w:color="auto" w:fill="D9D9D9" w:themeFill="background1" w:themeFillShade="D9"/>
            <w:noWrap/>
            <w:vAlign w:val="center"/>
            <w:hideMark/>
          </w:tcPr>
          <w:p w14:paraId="4DE42D24"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0,00%</w:t>
            </w:r>
          </w:p>
        </w:tc>
      </w:tr>
      <w:tr w:rsidR="0009609E" w:rsidRPr="00F05D16" w14:paraId="71598003" w14:textId="77777777" w:rsidTr="00F05D16">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72B3B1E" w14:textId="77777777" w:rsidR="0009609E" w:rsidRPr="00F05D16" w:rsidRDefault="0009609E" w:rsidP="0009609E">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Jaunās atkāpes</w:t>
            </w:r>
          </w:p>
        </w:tc>
        <w:tc>
          <w:tcPr>
            <w:tcW w:w="1265" w:type="dxa"/>
            <w:noWrap/>
            <w:hideMark/>
          </w:tcPr>
          <w:p w14:paraId="3087DDD8" w14:textId="77777777" w:rsidR="0009609E" w:rsidRPr="00F05D16"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61" w:type="dxa"/>
            <w:shd w:val="clear" w:color="auto" w:fill="D9D9D9" w:themeFill="background1" w:themeFillShade="D9"/>
            <w:noWrap/>
            <w:vAlign w:val="center"/>
            <w:hideMark/>
          </w:tcPr>
          <w:p w14:paraId="6756692E"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-1,50%</w:t>
            </w:r>
          </w:p>
        </w:tc>
        <w:tc>
          <w:tcPr>
            <w:tcW w:w="851" w:type="dxa"/>
            <w:shd w:val="clear" w:color="auto" w:fill="D9D9D9" w:themeFill="background1" w:themeFillShade="D9"/>
            <w:noWrap/>
            <w:vAlign w:val="center"/>
            <w:hideMark/>
          </w:tcPr>
          <w:p w14:paraId="790DEF03"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-1,50%</w:t>
            </w:r>
          </w:p>
        </w:tc>
        <w:tc>
          <w:tcPr>
            <w:tcW w:w="850" w:type="dxa"/>
            <w:shd w:val="clear" w:color="auto" w:fill="D9D9D9" w:themeFill="background1" w:themeFillShade="D9"/>
            <w:noWrap/>
            <w:vAlign w:val="center"/>
            <w:hideMark/>
          </w:tcPr>
          <w:p w14:paraId="2697361C"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-1,77%</w:t>
            </w:r>
          </w:p>
        </w:tc>
        <w:tc>
          <w:tcPr>
            <w:tcW w:w="851" w:type="dxa"/>
            <w:shd w:val="clear" w:color="auto" w:fill="D9D9D9" w:themeFill="background1" w:themeFillShade="D9"/>
            <w:noWrap/>
            <w:vAlign w:val="center"/>
            <w:hideMark/>
          </w:tcPr>
          <w:p w14:paraId="120398EE"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F05D16">
              <w:rPr>
                <w:rFonts w:ascii="Times New Roman" w:eastAsia="Times New Roman" w:hAnsi="Times New Roman" w:cs="Times New Roman"/>
                <w:b/>
                <w:bCs/>
                <w:color w:val="000000"/>
                <w:sz w:val="18"/>
                <w:szCs w:val="18"/>
                <w:lang w:eastAsia="lv-LV"/>
              </w:rPr>
              <w:t>-1,56%</w:t>
            </w:r>
          </w:p>
        </w:tc>
        <w:tc>
          <w:tcPr>
            <w:tcW w:w="850" w:type="dxa"/>
            <w:shd w:val="clear" w:color="auto" w:fill="D9D9D9" w:themeFill="background1" w:themeFillShade="D9"/>
            <w:noWrap/>
            <w:vAlign w:val="center"/>
            <w:hideMark/>
          </w:tcPr>
          <w:p w14:paraId="2F0EA440"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F05D16">
              <w:rPr>
                <w:rFonts w:ascii="Times New Roman" w:eastAsia="Times New Roman" w:hAnsi="Times New Roman" w:cs="Times New Roman"/>
                <w:b/>
                <w:bCs/>
                <w:color w:val="000000"/>
                <w:sz w:val="18"/>
                <w:szCs w:val="18"/>
                <w:lang w:eastAsia="lv-LV"/>
              </w:rPr>
              <w:t>-1,40%</w:t>
            </w:r>
          </w:p>
        </w:tc>
        <w:tc>
          <w:tcPr>
            <w:tcW w:w="861" w:type="dxa"/>
            <w:shd w:val="clear" w:color="auto" w:fill="D9D9D9" w:themeFill="background1" w:themeFillShade="D9"/>
            <w:noWrap/>
            <w:vAlign w:val="center"/>
            <w:hideMark/>
          </w:tcPr>
          <w:p w14:paraId="5FBFF128"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F05D16">
              <w:rPr>
                <w:rFonts w:ascii="Times New Roman" w:eastAsia="Times New Roman" w:hAnsi="Times New Roman" w:cs="Times New Roman"/>
                <w:b/>
                <w:bCs/>
                <w:color w:val="000000"/>
                <w:sz w:val="18"/>
                <w:szCs w:val="18"/>
                <w:lang w:eastAsia="lv-LV"/>
              </w:rPr>
              <w:t>-1,29%</w:t>
            </w:r>
          </w:p>
        </w:tc>
        <w:tc>
          <w:tcPr>
            <w:tcW w:w="850" w:type="dxa"/>
            <w:shd w:val="clear" w:color="auto" w:fill="D9D9D9" w:themeFill="background1" w:themeFillShade="D9"/>
            <w:noWrap/>
            <w:vAlign w:val="center"/>
            <w:hideMark/>
          </w:tcPr>
          <w:p w14:paraId="6193776D"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F05D16">
              <w:rPr>
                <w:rFonts w:ascii="Times New Roman" w:eastAsia="Times New Roman" w:hAnsi="Times New Roman" w:cs="Times New Roman"/>
                <w:b/>
                <w:bCs/>
                <w:color w:val="000000"/>
                <w:sz w:val="18"/>
                <w:szCs w:val="18"/>
                <w:lang w:eastAsia="lv-LV"/>
              </w:rPr>
              <w:t>-1,00%</w:t>
            </w:r>
          </w:p>
        </w:tc>
      </w:tr>
      <w:tr w:rsidR="0009609E" w:rsidRPr="00F05D16" w14:paraId="10848DBF" w14:textId="77777777" w:rsidTr="00F05D16">
        <w:trPr>
          <w:trHeight w:val="256"/>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190F71E" w14:textId="534F1B5A" w:rsidR="0009609E" w:rsidRPr="00F05D16" w:rsidRDefault="004C6CC5" w:rsidP="0009609E">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S</w:t>
            </w:r>
            <w:r w:rsidR="0009609E" w:rsidRPr="00F05D16">
              <w:rPr>
                <w:rFonts w:ascii="Times New Roman" w:eastAsia="Times New Roman" w:hAnsi="Times New Roman" w:cs="Times New Roman"/>
                <w:b w:val="0"/>
                <w:color w:val="000000"/>
                <w:sz w:val="18"/>
                <w:szCs w:val="18"/>
                <w:lang w:eastAsia="lv-LV"/>
              </w:rPr>
              <w:t>trukturālās reformas</w:t>
            </w:r>
          </w:p>
        </w:tc>
        <w:tc>
          <w:tcPr>
            <w:tcW w:w="1265" w:type="dxa"/>
            <w:noWrap/>
            <w:hideMark/>
          </w:tcPr>
          <w:p w14:paraId="0164EF7A"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61" w:type="dxa"/>
            <w:shd w:val="clear" w:color="auto" w:fill="D9D9D9" w:themeFill="background1" w:themeFillShade="D9"/>
            <w:noWrap/>
            <w:vAlign w:val="center"/>
            <w:hideMark/>
          </w:tcPr>
          <w:p w14:paraId="1843C9EE"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1" w:type="dxa"/>
            <w:shd w:val="clear" w:color="auto" w:fill="D9D9D9" w:themeFill="background1" w:themeFillShade="D9"/>
            <w:noWrap/>
            <w:vAlign w:val="center"/>
            <w:hideMark/>
          </w:tcPr>
          <w:p w14:paraId="7BA6622F"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0" w:type="dxa"/>
            <w:shd w:val="clear" w:color="auto" w:fill="D9D9D9" w:themeFill="background1" w:themeFillShade="D9"/>
            <w:noWrap/>
            <w:vAlign w:val="center"/>
            <w:hideMark/>
          </w:tcPr>
          <w:p w14:paraId="3911AFA8"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1" w:type="dxa"/>
            <w:shd w:val="clear" w:color="auto" w:fill="FFFF00"/>
            <w:noWrap/>
            <w:vAlign w:val="center"/>
            <w:hideMark/>
          </w:tcPr>
          <w:p w14:paraId="768C8496"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F05D16">
              <w:rPr>
                <w:rFonts w:ascii="Times New Roman" w:eastAsia="Times New Roman" w:hAnsi="Times New Roman" w:cs="Times New Roman"/>
                <w:b/>
                <w:bCs/>
                <w:color w:val="000000"/>
                <w:sz w:val="18"/>
                <w:szCs w:val="18"/>
                <w:lang w:eastAsia="lv-LV"/>
              </w:rPr>
              <w:t>-0,24%</w:t>
            </w:r>
          </w:p>
        </w:tc>
        <w:tc>
          <w:tcPr>
            <w:tcW w:w="850" w:type="dxa"/>
            <w:shd w:val="clear" w:color="auto" w:fill="FFFF00"/>
            <w:noWrap/>
            <w:vAlign w:val="center"/>
            <w:hideMark/>
          </w:tcPr>
          <w:p w14:paraId="07C7766A"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F05D16">
              <w:rPr>
                <w:rFonts w:ascii="Times New Roman" w:eastAsia="Times New Roman" w:hAnsi="Times New Roman" w:cs="Times New Roman"/>
                <w:b/>
                <w:bCs/>
                <w:color w:val="000000"/>
                <w:sz w:val="18"/>
                <w:szCs w:val="18"/>
                <w:lang w:eastAsia="lv-LV"/>
              </w:rPr>
              <w:t>0,00%</w:t>
            </w:r>
          </w:p>
        </w:tc>
        <w:tc>
          <w:tcPr>
            <w:tcW w:w="861" w:type="dxa"/>
            <w:shd w:val="clear" w:color="auto" w:fill="FFFF00"/>
            <w:noWrap/>
            <w:vAlign w:val="center"/>
            <w:hideMark/>
          </w:tcPr>
          <w:p w14:paraId="0A16872B"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F05D16">
              <w:rPr>
                <w:rFonts w:ascii="Times New Roman" w:eastAsia="Times New Roman" w:hAnsi="Times New Roman" w:cs="Times New Roman"/>
                <w:b/>
                <w:bCs/>
                <w:color w:val="000000"/>
                <w:sz w:val="18"/>
                <w:szCs w:val="18"/>
                <w:lang w:eastAsia="lv-LV"/>
              </w:rPr>
              <w:t>-0,11%</w:t>
            </w:r>
          </w:p>
        </w:tc>
        <w:tc>
          <w:tcPr>
            <w:tcW w:w="850" w:type="dxa"/>
            <w:shd w:val="clear" w:color="auto" w:fill="D9D9D9" w:themeFill="background1" w:themeFillShade="D9"/>
            <w:noWrap/>
            <w:vAlign w:val="center"/>
            <w:hideMark/>
          </w:tcPr>
          <w:p w14:paraId="1D4C3B1D"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F05D16">
              <w:rPr>
                <w:rFonts w:ascii="Times New Roman" w:eastAsia="Times New Roman" w:hAnsi="Times New Roman" w:cs="Times New Roman"/>
                <w:b/>
                <w:bCs/>
                <w:color w:val="000000"/>
                <w:sz w:val="18"/>
                <w:szCs w:val="18"/>
                <w:lang w:eastAsia="lv-LV"/>
              </w:rPr>
              <w:t>-0,40%</w:t>
            </w:r>
          </w:p>
        </w:tc>
      </w:tr>
      <w:tr w:rsidR="0009609E" w:rsidRPr="00F05D16" w14:paraId="37375762" w14:textId="77777777" w:rsidTr="00F05D1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83E936E" w14:textId="504E3847" w:rsidR="0009609E" w:rsidRPr="00F05D16" w:rsidRDefault="004C6CC5" w:rsidP="0009609E">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S</w:t>
            </w:r>
            <w:r w:rsidR="0009609E" w:rsidRPr="00F05D16">
              <w:rPr>
                <w:rFonts w:ascii="Times New Roman" w:eastAsia="Times New Roman" w:hAnsi="Times New Roman" w:cs="Times New Roman"/>
                <w:b w:val="0"/>
                <w:color w:val="000000"/>
                <w:sz w:val="18"/>
                <w:szCs w:val="18"/>
                <w:lang w:eastAsia="lv-LV"/>
              </w:rPr>
              <w:t>trukturālā bilance</w:t>
            </w:r>
          </w:p>
        </w:tc>
        <w:tc>
          <w:tcPr>
            <w:tcW w:w="1265" w:type="dxa"/>
            <w:noWrap/>
            <w:hideMark/>
          </w:tcPr>
          <w:p w14:paraId="23AAC1E6" w14:textId="77777777" w:rsidR="0009609E" w:rsidRPr="00F05D16"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61" w:type="dxa"/>
            <w:shd w:val="clear" w:color="auto" w:fill="D9D9D9" w:themeFill="background1" w:themeFillShade="D9"/>
            <w:noWrap/>
            <w:vAlign w:val="center"/>
            <w:hideMark/>
          </w:tcPr>
          <w:p w14:paraId="68DD4D59"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-1,50%</w:t>
            </w:r>
          </w:p>
        </w:tc>
        <w:tc>
          <w:tcPr>
            <w:tcW w:w="851" w:type="dxa"/>
            <w:shd w:val="clear" w:color="auto" w:fill="D9D9D9" w:themeFill="background1" w:themeFillShade="D9"/>
            <w:noWrap/>
            <w:vAlign w:val="center"/>
            <w:hideMark/>
          </w:tcPr>
          <w:p w14:paraId="0CED4366"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-1,50%</w:t>
            </w:r>
          </w:p>
        </w:tc>
        <w:tc>
          <w:tcPr>
            <w:tcW w:w="850" w:type="dxa"/>
            <w:shd w:val="clear" w:color="auto" w:fill="D9D9D9" w:themeFill="background1" w:themeFillShade="D9"/>
            <w:noWrap/>
            <w:vAlign w:val="center"/>
            <w:hideMark/>
          </w:tcPr>
          <w:p w14:paraId="053F6165"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-1,77%</w:t>
            </w:r>
          </w:p>
        </w:tc>
        <w:tc>
          <w:tcPr>
            <w:tcW w:w="851" w:type="dxa"/>
            <w:shd w:val="clear" w:color="auto" w:fill="D9D9D9" w:themeFill="background1" w:themeFillShade="D9"/>
            <w:noWrap/>
            <w:vAlign w:val="center"/>
            <w:hideMark/>
          </w:tcPr>
          <w:p w14:paraId="6B882227"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-1,80%</w:t>
            </w:r>
          </w:p>
        </w:tc>
        <w:tc>
          <w:tcPr>
            <w:tcW w:w="850" w:type="dxa"/>
            <w:shd w:val="clear" w:color="auto" w:fill="D9D9D9" w:themeFill="background1" w:themeFillShade="D9"/>
            <w:noWrap/>
            <w:vAlign w:val="center"/>
            <w:hideMark/>
          </w:tcPr>
          <w:p w14:paraId="6093106D"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-1,40%</w:t>
            </w:r>
          </w:p>
        </w:tc>
        <w:tc>
          <w:tcPr>
            <w:tcW w:w="861" w:type="dxa"/>
            <w:shd w:val="clear" w:color="auto" w:fill="D9D9D9" w:themeFill="background1" w:themeFillShade="D9"/>
            <w:noWrap/>
            <w:vAlign w:val="center"/>
            <w:hideMark/>
          </w:tcPr>
          <w:p w14:paraId="04EA12EC"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-1,40%</w:t>
            </w:r>
          </w:p>
        </w:tc>
        <w:tc>
          <w:tcPr>
            <w:tcW w:w="850" w:type="dxa"/>
            <w:shd w:val="clear" w:color="auto" w:fill="D9D9D9" w:themeFill="background1" w:themeFillShade="D9"/>
            <w:noWrap/>
            <w:vAlign w:val="center"/>
            <w:hideMark/>
          </w:tcPr>
          <w:p w14:paraId="22E49BBD"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-1,40%</w:t>
            </w:r>
          </w:p>
        </w:tc>
      </w:tr>
      <w:tr w:rsidR="0009609E" w:rsidRPr="00F05D16" w14:paraId="31F4BD40" w14:textId="77777777" w:rsidTr="00F05D16">
        <w:trPr>
          <w:trHeight w:val="300"/>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1202D81" w14:textId="06C37995" w:rsidR="0009609E" w:rsidRPr="00F05D16" w:rsidRDefault="004C6CC5" w:rsidP="0009609E">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M</w:t>
            </w:r>
            <w:r w:rsidR="0009609E" w:rsidRPr="00F05D16">
              <w:rPr>
                <w:rFonts w:ascii="Times New Roman" w:eastAsia="Times New Roman" w:hAnsi="Times New Roman" w:cs="Times New Roman"/>
                <w:b w:val="0"/>
                <w:color w:val="000000"/>
                <w:sz w:val="18"/>
                <w:szCs w:val="18"/>
                <w:lang w:eastAsia="lv-LV"/>
              </w:rPr>
              <w:t>aksimālā strukturālā bilance</w:t>
            </w:r>
          </w:p>
        </w:tc>
        <w:tc>
          <w:tcPr>
            <w:tcW w:w="1265" w:type="dxa"/>
            <w:noWrap/>
            <w:hideMark/>
          </w:tcPr>
          <w:p w14:paraId="2A7EA513"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61" w:type="dxa"/>
            <w:shd w:val="clear" w:color="auto" w:fill="D9D9D9" w:themeFill="background1" w:themeFillShade="D9"/>
            <w:noWrap/>
            <w:vAlign w:val="center"/>
            <w:hideMark/>
          </w:tcPr>
          <w:p w14:paraId="578FA35E"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-1,80%</w:t>
            </w:r>
          </w:p>
        </w:tc>
        <w:tc>
          <w:tcPr>
            <w:tcW w:w="851" w:type="dxa"/>
            <w:shd w:val="clear" w:color="auto" w:fill="D9D9D9" w:themeFill="background1" w:themeFillShade="D9"/>
            <w:noWrap/>
            <w:vAlign w:val="center"/>
            <w:hideMark/>
          </w:tcPr>
          <w:p w14:paraId="3C7B2258"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-1,80%</w:t>
            </w:r>
          </w:p>
        </w:tc>
        <w:tc>
          <w:tcPr>
            <w:tcW w:w="850" w:type="dxa"/>
            <w:shd w:val="clear" w:color="auto" w:fill="D9D9D9" w:themeFill="background1" w:themeFillShade="D9"/>
            <w:noWrap/>
            <w:vAlign w:val="center"/>
            <w:hideMark/>
          </w:tcPr>
          <w:p w14:paraId="5AE15199"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-1,80%</w:t>
            </w:r>
          </w:p>
        </w:tc>
        <w:tc>
          <w:tcPr>
            <w:tcW w:w="851" w:type="dxa"/>
            <w:shd w:val="clear" w:color="auto" w:fill="D9D9D9" w:themeFill="background1" w:themeFillShade="D9"/>
            <w:noWrap/>
            <w:vAlign w:val="center"/>
            <w:hideMark/>
          </w:tcPr>
          <w:p w14:paraId="11044D4D"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-1,80%</w:t>
            </w:r>
          </w:p>
        </w:tc>
        <w:tc>
          <w:tcPr>
            <w:tcW w:w="850" w:type="dxa"/>
            <w:shd w:val="clear" w:color="auto" w:fill="D9D9D9" w:themeFill="background1" w:themeFillShade="D9"/>
            <w:noWrap/>
            <w:vAlign w:val="center"/>
            <w:hideMark/>
          </w:tcPr>
          <w:p w14:paraId="6D1639F8"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-1,40%</w:t>
            </w:r>
          </w:p>
        </w:tc>
        <w:tc>
          <w:tcPr>
            <w:tcW w:w="861" w:type="dxa"/>
            <w:shd w:val="clear" w:color="auto" w:fill="D9D9D9" w:themeFill="background1" w:themeFillShade="D9"/>
            <w:noWrap/>
            <w:vAlign w:val="center"/>
            <w:hideMark/>
          </w:tcPr>
          <w:p w14:paraId="08BAC560"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-1,40%</w:t>
            </w:r>
          </w:p>
        </w:tc>
        <w:tc>
          <w:tcPr>
            <w:tcW w:w="850" w:type="dxa"/>
            <w:shd w:val="clear" w:color="auto" w:fill="D9D9D9" w:themeFill="background1" w:themeFillShade="D9"/>
            <w:noWrap/>
            <w:vAlign w:val="center"/>
            <w:hideMark/>
          </w:tcPr>
          <w:p w14:paraId="0032A51B"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-1,40%</w:t>
            </w:r>
          </w:p>
        </w:tc>
      </w:tr>
      <w:tr w:rsidR="0009609E" w:rsidRPr="00F05D16" w14:paraId="3B0C6306" w14:textId="77777777" w:rsidTr="00F05D16">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50CFBD3" w14:textId="135459DA" w:rsidR="0009609E" w:rsidRPr="00F05D16" w:rsidRDefault="004C6CC5" w:rsidP="0009609E">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C</w:t>
            </w:r>
            <w:r w:rsidR="0009609E" w:rsidRPr="00F05D16">
              <w:rPr>
                <w:rFonts w:ascii="Times New Roman" w:eastAsia="Times New Roman" w:hAnsi="Times New Roman" w:cs="Times New Roman"/>
                <w:b w:val="0"/>
                <w:color w:val="000000"/>
                <w:sz w:val="18"/>
                <w:szCs w:val="18"/>
                <w:lang w:eastAsia="lv-LV"/>
              </w:rPr>
              <w:t>ikliskā komponente</w:t>
            </w:r>
          </w:p>
        </w:tc>
        <w:tc>
          <w:tcPr>
            <w:tcW w:w="1265" w:type="dxa"/>
            <w:noWrap/>
            <w:hideMark/>
          </w:tcPr>
          <w:p w14:paraId="2E2578AA" w14:textId="77777777" w:rsidR="0009609E" w:rsidRPr="00F05D16"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61" w:type="dxa"/>
            <w:noWrap/>
            <w:vAlign w:val="center"/>
            <w:hideMark/>
          </w:tcPr>
          <w:p w14:paraId="6E92CF45"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1" w:type="dxa"/>
            <w:noWrap/>
            <w:vAlign w:val="center"/>
            <w:hideMark/>
          </w:tcPr>
          <w:p w14:paraId="11268F24"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0,40%</w:t>
            </w:r>
          </w:p>
        </w:tc>
        <w:tc>
          <w:tcPr>
            <w:tcW w:w="850" w:type="dxa"/>
            <w:noWrap/>
            <w:vAlign w:val="center"/>
            <w:hideMark/>
          </w:tcPr>
          <w:p w14:paraId="0F4E2256"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0,50%</w:t>
            </w:r>
          </w:p>
        </w:tc>
        <w:tc>
          <w:tcPr>
            <w:tcW w:w="851" w:type="dxa"/>
            <w:noWrap/>
            <w:vAlign w:val="center"/>
            <w:hideMark/>
          </w:tcPr>
          <w:p w14:paraId="4387F0F1"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0,70%</w:t>
            </w:r>
          </w:p>
        </w:tc>
        <w:tc>
          <w:tcPr>
            <w:tcW w:w="850" w:type="dxa"/>
            <w:noWrap/>
            <w:vAlign w:val="center"/>
            <w:hideMark/>
          </w:tcPr>
          <w:p w14:paraId="51333420"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0,50%</w:t>
            </w:r>
          </w:p>
        </w:tc>
        <w:tc>
          <w:tcPr>
            <w:tcW w:w="861" w:type="dxa"/>
            <w:noWrap/>
            <w:vAlign w:val="center"/>
            <w:hideMark/>
          </w:tcPr>
          <w:p w14:paraId="3463A304"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0,20%</w:t>
            </w:r>
          </w:p>
        </w:tc>
        <w:tc>
          <w:tcPr>
            <w:tcW w:w="850" w:type="dxa"/>
            <w:noWrap/>
            <w:vAlign w:val="center"/>
            <w:hideMark/>
          </w:tcPr>
          <w:p w14:paraId="6D719FCD"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0,00%</w:t>
            </w:r>
          </w:p>
        </w:tc>
      </w:tr>
      <w:tr w:rsidR="0009609E" w:rsidRPr="00F05D16" w14:paraId="6E9971B9" w14:textId="77777777" w:rsidTr="00F05D16">
        <w:trPr>
          <w:trHeight w:val="274"/>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53FB837" w14:textId="104841E0" w:rsidR="0009609E" w:rsidRPr="00F05D16" w:rsidRDefault="004C6CC5" w:rsidP="0009609E">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C</w:t>
            </w:r>
            <w:r w:rsidR="0009609E" w:rsidRPr="00F05D16">
              <w:rPr>
                <w:rFonts w:ascii="Times New Roman" w:eastAsia="Times New Roman" w:hAnsi="Times New Roman" w:cs="Times New Roman"/>
                <w:b w:val="0"/>
                <w:color w:val="000000"/>
                <w:sz w:val="18"/>
                <w:szCs w:val="18"/>
                <w:lang w:eastAsia="lv-LV"/>
              </w:rPr>
              <w:t>ikliski koriģētais</w:t>
            </w:r>
          </w:p>
        </w:tc>
        <w:tc>
          <w:tcPr>
            <w:tcW w:w="1265" w:type="dxa"/>
            <w:noWrap/>
            <w:hideMark/>
          </w:tcPr>
          <w:p w14:paraId="588B0A6B"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61" w:type="dxa"/>
            <w:noWrap/>
            <w:vAlign w:val="center"/>
            <w:hideMark/>
          </w:tcPr>
          <w:p w14:paraId="691B8F0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-1,50%</w:t>
            </w:r>
          </w:p>
        </w:tc>
        <w:tc>
          <w:tcPr>
            <w:tcW w:w="851" w:type="dxa"/>
            <w:noWrap/>
            <w:vAlign w:val="center"/>
            <w:hideMark/>
          </w:tcPr>
          <w:p w14:paraId="614BB9F1"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-1,10%</w:t>
            </w:r>
          </w:p>
        </w:tc>
        <w:tc>
          <w:tcPr>
            <w:tcW w:w="850" w:type="dxa"/>
            <w:noWrap/>
            <w:vAlign w:val="center"/>
            <w:hideMark/>
          </w:tcPr>
          <w:p w14:paraId="312932AF"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-1,27%</w:t>
            </w:r>
          </w:p>
        </w:tc>
        <w:tc>
          <w:tcPr>
            <w:tcW w:w="851" w:type="dxa"/>
            <w:noWrap/>
            <w:vAlign w:val="center"/>
            <w:hideMark/>
          </w:tcPr>
          <w:p w14:paraId="148A3F24"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-1,10%</w:t>
            </w:r>
          </w:p>
        </w:tc>
        <w:tc>
          <w:tcPr>
            <w:tcW w:w="850" w:type="dxa"/>
            <w:noWrap/>
            <w:vAlign w:val="center"/>
            <w:hideMark/>
          </w:tcPr>
          <w:p w14:paraId="16A4FA35"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-0,90%</w:t>
            </w:r>
          </w:p>
        </w:tc>
        <w:tc>
          <w:tcPr>
            <w:tcW w:w="861" w:type="dxa"/>
            <w:noWrap/>
            <w:vAlign w:val="center"/>
            <w:hideMark/>
          </w:tcPr>
          <w:p w14:paraId="521F8A96"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-1,20%</w:t>
            </w:r>
          </w:p>
        </w:tc>
        <w:tc>
          <w:tcPr>
            <w:tcW w:w="850" w:type="dxa"/>
            <w:noWrap/>
            <w:vAlign w:val="center"/>
            <w:hideMark/>
          </w:tcPr>
          <w:p w14:paraId="1F147356"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-1,40%</w:t>
            </w:r>
          </w:p>
        </w:tc>
      </w:tr>
      <w:tr w:rsidR="0009609E" w:rsidRPr="00F05D16" w14:paraId="75AB1DBD" w14:textId="77777777" w:rsidTr="00F05D16">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FACAAFD" w14:textId="31C7092D" w:rsidR="0009609E" w:rsidRPr="00F05D16" w:rsidRDefault="004C6CC5" w:rsidP="0057255A">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 xml:space="preserve">Vienreizējie </w:t>
            </w:r>
            <w:r w:rsidR="0057255A" w:rsidRPr="00F05D16">
              <w:rPr>
                <w:rFonts w:ascii="Times New Roman" w:eastAsia="Times New Roman" w:hAnsi="Times New Roman" w:cs="Times New Roman"/>
                <w:b w:val="0"/>
                <w:color w:val="000000"/>
                <w:sz w:val="18"/>
                <w:szCs w:val="18"/>
                <w:lang w:eastAsia="lv-LV"/>
              </w:rPr>
              <w:t>izdevumi</w:t>
            </w:r>
          </w:p>
        </w:tc>
        <w:tc>
          <w:tcPr>
            <w:tcW w:w="1265" w:type="dxa"/>
            <w:noWrap/>
            <w:hideMark/>
          </w:tcPr>
          <w:p w14:paraId="6E286B39" w14:textId="77777777" w:rsidR="0009609E" w:rsidRPr="00F05D16"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61" w:type="dxa"/>
            <w:noWrap/>
            <w:vAlign w:val="center"/>
            <w:hideMark/>
          </w:tcPr>
          <w:p w14:paraId="1FA65635"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1" w:type="dxa"/>
            <w:noWrap/>
            <w:vAlign w:val="center"/>
            <w:hideMark/>
          </w:tcPr>
          <w:p w14:paraId="4B45E354"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-0,30%</w:t>
            </w:r>
          </w:p>
        </w:tc>
        <w:tc>
          <w:tcPr>
            <w:tcW w:w="850" w:type="dxa"/>
            <w:noWrap/>
            <w:vAlign w:val="center"/>
            <w:hideMark/>
          </w:tcPr>
          <w:p w14:paraId="532EF092"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51" w:type="dxa"/>
            <w:noWrap/>
            <w:vAlign w:val="center"/>
            <w:hideMark/>
          </w:tcPr>
          <w:p w14:paraId="4ACFEFD3"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-0,30%</w:t>
            </w:r>
          </w:p>
        </w:tc>
        <w:tc>
          <w:tcPr>
            <w:tcW w:w="850" w:type="dxa"/>
            <w:noWrap/>
            <w:vAlign w:val="center"/>
            <w:hideMark/>
          </w:tcPr>
          <w:p w14:paraId="263042E0"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-0,40%</w:t>
            </w:r>
          </w:p>
        </w:tc>
        <w:tc>
          <w:tcPr>
            <w:tcW w:w="861" w:type="dxa"/>
            <w:noWrap/>
            <w:vAlign w:val="center"/>
            <w:hideMark/>
          </w:tcPr>
          <w:p w14:paraId="24826152"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-0,50%</w:t>
            </w:r>
          </w:p>
        </w:tc>
        <w:tc>
          <w:tcPr>
            <w:tcW w:w="850" w:type="dxa"/>
            <w:noWrap/>
            <w:vAlign w:val="center"/>
            <w:hideMark/>
          </w:tcPr>
          <w:p w14:paraId="38DC4761"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-0,25%</w:t>
            </w:r>
          </w:p>
        </w:tc>
      </w:tr>
      <w:tr w:rsidR="0009609E" w:rsidRPr="00F05D16" w14:paraId="214C24EB" w14:textId="77777777" w:rsidTr="00F05D16">
        <w:trPr>
          <w:trHeight w:val="315"/>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0A0E321" w14:textId="342FF85C" w:rsidR="0009609E" w:rsidRPr="00F05D16" w:rsidRDefault="004C6CC5" w:rsidP="0009609E">
            <w:pPr>
              <w:rPr>
                <w:rFonts w:ascii="Times New Roman" w:eastAsia="Times New Roman" w:hAnsi="Times New Roman" w:cs="Times New Roman"/>
                <w:b w:val="0"/>
                <w:color w:val="000000"/>
                <w:sz w:val="18"/>
                <w:szCs w:val="18"/>
                <w:lang w:eastAsia="lv-LV"/>
              </w:rPr>
            </w:pPr>
            <w:r w:rsidRPr="00F05D16">
              <w:rPr>
                <w:rFonts w:ascii="Times New Roman" w:eastAsia="Times New Roman" w:hAnsi="Times New Roman" w:cs="Times New Roman"/>
                <w:b w:val="0"/>
                <w:color w:val="000000"/>
                <w:sz w:val="18"/>
                <w:szCs w:val="18"/>
                <w:lang w:eastAsia="lv-LV"/>
              </w:rPr>
              <w:t>Faktiskā bilance</w:t>
            </w:r>
          </w:p>
        </w:tc>
        <w:tc>
          <w:tcPr>
            <w:tcW w:w="1265" w:type="dxa"/>
            <w:noWrap/>
            <w:hideMark/>
          </w:tcPr>
          <w:p w14:paraId="77365269"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 </w:t>
            </w:r>
          </w:p>
        </w:tc>
        <w:tc>
          <w:tcPr>
            <w:tcW w:w="861" w:type="dxa"/>
            <w:noWrap/>
            <w:vAlign w:val="center"/>
            <w:hideMark/>
          </w:tcPr>
          <w:p w14:paraId="7A0475C9"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-1,50%</w:t>
            </w:r>
          </w:p>
        </w:tc>
        <w:tc>
          <w:tcPr>
            <w:tcW w:w="851" w:type="dxa"/>
            <w:noWrap/>
            <w:vAlign w:val="center"/>
            <w:hideMark/>
          </w:tcPr>
          <w:p w14:paraId="182792BD"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-1,40%</w:t>
            </w:r>
          </w:p>
        </w:tc>
        <w:tc>
          <w:tcPr>
            <w:tcW w:w="850" w:type="dxa"/>
            <w:noWrap/>
            <w:vAlign w:val="center"/>
            <w:hideMark/>
          </w:tcPr>
          <w:p w14:paraId="413513B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-1,27%</w:t>
            </w:r>
          </w:p>
        </w:tc>
        <w:tc>
          <w:tcPr>
            <w:tcW w:w="851" w:type="dxa"/>
            <w:noWrap/>
            <w:vAlign w:val="center"/>
            <w:hideMark/>
          </w:tcPr>
          <w:p w14:paraId="2C42DA2E"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-1,40%</w:t>
            </w:r>
          </w:p>
        </w:tc>
        <w:tc>
          <w:tcPr>
            <w:tcW w:w="850" w:type="dxa"/>
            <w:noWrap/>
            <w:vAlign w:val="center"/>
            <w:hideMark/>
          </w:tcPr>
          <w:p w14:paraId="1BB8EA1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-1,30%</w:t>
            </w:r>
          </w:p>
        </w:tc>
        <w:tc>
          <w:tcPr>
            <w:tcW w:w="861" w:type="dxa"/>
            <w:noWrap/>
            <w:vAlign w:val="center"/>
            <w:hideMark/>
          </w:tcPr>
          <w:p w14:paraId="1FF9EE05"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-1,70%</w:t>
            </w:r>
          </w:p>
        </w:tc>
        <w:tc>
          <w:tcPr>
            <w:tcW w:w="850" w:type="dxa"/>
            <w:noWrap/>
            <w:vAlign w:val="center"/>
            <w:hideMark/>
          </w:tcPr>
          <w:p w14:paraId="522CF1F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F05D16">
              <w:rPr>
                <w:rFonts w:ascii="Times New Roman" w:eastAsia="Times New Roman" w:hAnsi="Times New Roman" w:cs="Times New Roman"/>
                <w:color w:val="000000"/>
                <w:sz w:val="18"/>
                <w:szCs w:val="18"/>
                <w:lang w:eastAsia="lv-LV"/>
              </w:rPr>
              <w:t>-1,65%</w:t>
            </w:r>
          </w:p>
        </w:tc>
      </w:tr>
    </w:tbl>
    <w:p w14:paraId="1A186805" w14:textId="66FF6233" w:rsidR="004C7E0F" w:rsidRPr="0009609E" w:rsidRDefault="004C7E0F" w:rsidP="004C7E0F">
      <w:pPr>
        <w:spacing w:before="120"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Attiecībā uz atkāpju modeli, kas izriet no iemaksu palielināšanas </w:t>
      </w:r>
      <w:r w:rsidR="00612F17">
        <w:rPr>
          <w:rFonts w:ascii="Times New Roman" w:eastAsia="Calibri" w:hAnsi="Times New Roman" w:cs="Times New Roman"/>
          <w:color w:val="000000"/>
          <w:sz w:val="24"/>
          <w:szCs w:val="24"/>
        </w:rPr>
        <w:t>2.</w:t>
      </w:r>
      <w:r w:rsidRPr="0009609E">
        <w:rPr>
          <w:rFonts w:ascii="Times New Roman" w:eastAsia="Calibri" w:hAnsi="Times New Roman" w:cs="Times New Roman"/>
          <w:color w:val="000000"/>
          <w:sz w:val="24"/>
          <w:szCs w:val="24"/>
        </w:rPr>
        <w:t>pensiju līmenī, Latvija saglabā līdzīgu principu kā iepriekšējā Stabilitātes programmā. Iemaksu palielinājums 2.pensiju līmenī joprojām tiek veikts 3 posmos: 2013.gadā palielinot iemaksas no 2 uz 4% (fiskālā ietekme 0,50% no IKP), 2015.gadā palielinot iemaksas no 4 uz 5% (fiskālā ietekme 0,27% no IKP) un 2016.gadā palielinot iemaksu no 5 uz 6% (fiskālā ietekme 0,29% no IKP). Izmaiņas skar atkāpes kvantitatīvo apmēru pa gadiem. Iepriekš bija paredzēts, ka atkāpju apmērs trīs gadu laikā pakāpeniski samazinās. Tā kā SIP regulējums šādu nosacījumu neparedz un EK savā noteikumu piemērošanas politikā arī šādu nosacī</w:t>
      </w:r>
      <w:r>
        <w:rPr>
          <w:rFonts w:ascii="Times New Roman" w:eastAsia="Calibri" w:hAnsi="Times New Roman" w:cs="Times New Roman"/>
          <w:color w:val="000000"/>
          <w:sz w:val="24"/>
          <w:szCs w:val="24"/>
        </w:rPr>
        <w:t>jumu neizvirza, šogad Latvijas S</w:t>
      </w:r>
      <w:r w:rsidRPr="0009609E">
        <w:rPr>
          <w:rFonts w:ascii="Times New Roman" w:eastAsia="Calibri" w:hAnsi="Times New Roman" w:cs="Times New Roman"/>
          <w:color w:val="000000"/>
          <w:sz w:val="24"/>
          <w:szCs w:val="24"/>
        </w:rPr>
        <w:t xml:space="preserve">tabilitātes programmā atkāpju apmērs trīs gadu griezumā saglabājās nemainīgā apmērā, kāds tas bija pirmajā gadā un nobīde tiek likvidēta pilnā apmērā ceturtajā gadā. </w:t>
      </w:r>
    </w:p>
    <w:p w14:paraId="355B3AEB" w14:textId="04A5B9BF"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Summējot VTM ar pieļaujamo atkāpju apmēru, tiek aprēķināts starprezultāts strukturālās bilances mērķim, kas ir attiecīgi -1,56% no IKP 2016.gadā, -1,4</w:t>
      </w:r>
      <w:r>
        <w:rPr>
          <w:rFonts w:ascii="Times New Roman" w:eastAsia="Calibri" w:hAnsi="Times New Roman" w:cs="Times New Roman"/>
          <w:color w:val="000000"/>
          <w:sz w:val="24"/>
          <w:szCs w:val="24"/>
        </w:rPr>
        <w:t>0</w:t>
      </w:r>
      <w:r w:rsidRPr="0009609E">
        <w:rPr>
          <w:rFonts w:ascii="Times New Roman" w:eastAsia="Calibri" w:hAnsi="Times New Roman" w:cs="Times New Roman"/>
          <w:color w:val="000000"/>
          <w:sz w:val="24"/>
          <w:szCs w:val="24"/>
        </w:rPr>
        <w:t xml:space="preserve">% no IKP 2017.gadā un -1,29% no IKP 2018.gadā. </w:t>
      </w:r>
      <w:r>
        <w:rPr>
          <w:rFonts w:ascii="Times New Roman" w:eastAsia="Calibri" w:hAnsi="Times New Roman" w:cs="Times New Roman"/>
          <w:color w:val="000000"/>
          <w:sz w:val="24"/>
          <w:szCs w:val="24"/>
        </w:rPr>
        <w:t xml:space="preserve"> </w:t>
      </w:r>
      <w:r w:rsidRPr="0009609E">
        <w:rPr>
          <w:rFonts w:ascii="Times New Roman" w:eastAsia="Calibri" w:hAnsi="Times New Roman" w:cs="Times New Roman"/>
          <w:color w:val="000000"/>
          <w:sz w:val="24"/>
          <w:szCs w:val="24"/>
        </w:rPr>
        <w:t xml:space="preserve">Tālāk tiek pārbaudīts vai iegūtais starprezultāts nodrošina pietiekamu drošības rezervi attiecībā pret deficīta atsauces vērtību, kas 2016.gadā </w:t>
      </w:r>
      <w:r w:rsidRPr="0009609E">
        <w:rPr>
          <w:rFonts w:ascii="Times New Roman" w:eastAsia="Calibri" w:hAnsi="Times New Roman" w:cs="Times New Roman"/>
          <w:color w:val="000000"/>
          <w:sz w:val="24"/>
          <w:szCs w:val="24"/>
        </w:rPr>
        <w:lastRenderedPageBreak/>
        <w:t>tiek noteikta 1,8%</w:t>
      </w:r>
      <w:r w:rsidRPr="00075DEB">
        <w:rPr>
          <w:rFonts w:ascii="Times New Roman" w:eastAsia="Calibri" w:hAnsi="Times New Roman" w:cs="Times New Roman"/>
          <w:color w:val="000000"/>
          <w:sz w:val="24"/>
          <w:szCs w:val="24"/>
          <w:vertAlign w:val="superscript"/>
        </w:rPr>
        <w:footnoteReference w:id="7"/>
      </w:r>
      <w:r w:rsidRPr="0009609E">
        <w:rPr>
          <w:rFonts w:ascii="Times New Roman" w:eastAsia="Calibri" w:hAnsi="Times New Roman" w:cs="Times New Roman"/>
          <w:color w:val="000000"/>
          <w:sz w:val="24"/>
          <w:szCs w:val="24"/>
        </w:rPr>
        <w:t xml:space="preserve"> no IKP strukturālajā izteiksmē, atbilstoši EK aprēķinātajam, savukārt 2017. un 2018. gadā tā tiek noteikta 1,4% no IKP strukturālā izteiksmē, atbilstoši </w:t>
      </w:r>
      <w:r w:rsidR="00612F17">
        <w:rPr>
          <w:rFonts w:ascii="Times New Roman" w:eastAsia="Calibri" w:hAnsi="Times New Roman" w:cs="Times New Roman"/>
          <w:color w:val="000000"/>
          <w:sz w:val="24"/>
          <w:szCs w:val="24"/>
        </w:rPr>
        <w:t>FM</w:t>
      </w:r>
      <w:r>
        <w:rPr>
          <w:rFonts w:ascii="Times New Roman" w:eastAsia="Calibri" w:hAnsi="Times New Roman" w:cs="Times New Roman"/>
          <w:color w:val="000000"/>
          <w:sz w:val="24"/>
          <w:szCs w:val="24"/>
        </w:rPr>
        <w:t xml:space="preserve"> aprēķiniem (</w:t>
      </w:r>
      <w:r w:rsidRPr="0009609E">
        <w:rPr>
          <w:rFonts w:ascii="Times New Roman" w:eastAsia="Calibri" w:hAnsi="Times New Roman" w:cs="Times New Roman"/>
          <w:color w:val="000000"/>
          <w:sz w:val="24"/>
          <w:szCs w:val="24"/>
        </w:rPr>
        <w:t>skat</w:t>
      </w:r>
      <w:r>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zemsvītras atsauci). </w:t>
      </w:r>
    </w:p>
    <w:p w14:paraId="07F01E91" w14:textId="6BF9A2B2"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Veicot pārbaudi tiek secināts, ka līdz deficīta atsauces vērtībai tiek saglabāts attālums 0,24% no IKP 2016. gadā, 0,0% no IKP 2017. gadā un 0,11% no IKP 2018.gadā. Iegūtās starpības tiek izmantotas kā papildu atkāpes no VTM, pamatojot tās ar īsteno</w:t>
      </w:r>
      <w:r w:rsidR="00904AE5">
        <w:rPr>
          <w:rFonts w:ascii="Times New Roman" w:eastAsia="Calibri" w:hAnsi="Times New Roman" w:cs="Times New Roman"/>
          <w:color w:val="000000"/>
          <w:sz w:val="24"/>
          <w:szCs w:val="24"/>
        </w:rPr>
        <w:t>jamajām</w:t>
      </w:r>
      <w:r w:rsidRPr="0009609E">
        <w:rPr>
          <w:rFonts w:ascii="Times New Roman" w:eastAsia="Calibri" w:hAnsi="Times New Roman" w:cs="Times New Roman"/>
          <w:color w:val="000000"/>
          <w:sz w:val="24"/>
          <w:szCs w:val="24"/>
        </w:rPr>
        <w:t xml:space="preserve"> reformām veselības nozarē (reformas izvērstu aprakstu lūdzu skatīt sadaļā “</w:t>
      </w:r>
      <w:r w:rsidRPr="004C6CC5">
        <w:rPr>
          <w:rFonts w:ascii="Times New Roman" w:eastAsia="Calibri" w:hAnsi="Times New Roman" w:cs="Times New Roman"/>
          <w:color w:val="000000"/>
          <w:sz w:val="24"/>
          <w:szCs w:val="24"/>
        </w:rPr>
        <w:t>Fiskāli nozīmīgākās strukturālās reformas Regulas Nr. 1175/2011 izpratnē</w:t>
      </w:r>
      <w:r w:rsidRPr="0009609E">
        <w:rPr>
          <w:rFonts w:ascii="Times New Roman" w:eastAsia="Calibri" w:hAnsi="Times New Roman" w:cs="Times New Roman"/>
          <w:color w:val="000000"/>
          <w:sz w:val="24"/>
          <w:szCs w:val="24"/>
        </w:rPr>
        <w:t xml:space="preserve">”), atbilstoši </w:t>
      </w:r>
      <w:r>
        <w:rPr>
          <w:rFonts w:ascii="Times New Roman" w:eastAsia="Calibri" w:hAnsi="Times New Roman" w:cs="Times New Roman"/>
          <w:color w:val="000000"/>
          <w:sz w:val="24"/>
          <w:szCs w:val="24"/>
        </w:rPr>
        <w:t>EK</w:t>
      </w:r>
      <w:r w:rsidRPr="0009609E">
        <w:rPr>
          <w:rFonts w:ascii="Times New Roman" w:eastAsia="Calibri" w:hAnsi="Times New Roman" w:cs="Times New Roman"/>
          <w:color w:val="000000"/>
          <w:sz w:val="24"/>
          <w:szCs w:val="24"/>
        </w:rPr>
        <w:t xml:space="preserve"> komunikācijai par esošā SIP regulējuma elastības labāku piemērošanu attiecībā uz strukturālajām reformām. </w:t>
      </w:r>
    </w:p>
    <w:p w14:paraId="21D1684F" w14:textId="44CA23CE" w:rsidR="004C7E0F" w:rsidRPr="00C10259"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Pēc tam, kad ir noskaidrots strukturālās bilances apmērs, ko izmantot turpmākajos aprēķinos, tiek aprēķināts nominālās bilances apmērs, ņemot vērā EK aprēķināto bilances ciklisko komponenti</w:t>
      </w:r>
      <w:r>
        <w:rPr>
          <w:rFonts w:ascii="Times New Roman" w:eastAsia="Calibri" w:hAnsi="Times New Roman" w:cs="Times New Roman"/>
          <w:color w:val="000000"/>
          <w:sz w:val="24"/>
          <w:szCs w:val="24"/>
        </w:rPr>
        <w:t xml:space="preserve"> </w:t>
      </w:r>
      <w:r w:rsidRPr="0009609E">
        <w:rPr>
          <w:rFonts w:ascii="Times New Roman" w:eastAsia="Calibri" w:hAnsi="Times New Roman" w:cs="Times New Roman"/>
          <w:color w:val="000000"/>
          <w:sz w:val="24"/>
          <w:szCs w:val="24"/>
        </w:rPr>
        <w:t>un vie</w:t>
      </w:r>
      <w:r>
        <w:rPr>
          <w:rFonts w:ascii="Times New Roman" w:eastAsia="Calibri" w:hAnsi="Times New Roman" w:cs="Times New Roman"/>
          <w:color w:val="000000"/>
          <w:sz w:val="24"/>
          <w:szCs w:val="24"/>
        </w:rPr>
        <w:t>nreizējos pasākumus aizsardzības nozarei</w:t>
      </w:r>
      <w:r w:rsidRPr="0009609E">
        <w:rPr>
          <w:rFonts w:ascii="Times New Roman" w:eastAsia="Calibri" w:hAnsi="Times New Roman" w:cs="Times New Roman"/>
          <w:color w:val="000000"/>
          <w:sz w:val="24"/>
          <w:szCs w:val="24"/>
        </w:rPr>
        <w:t xml:space="preserve"> (skat. sadaļu “</w:t>
      </w:r>
      <w:r>
        <w:rPr>
          <w:rFonts w:ascii="Times New Roman" w:eastAsia="Calibri" w:hAnsi="Times New Roman" w:cs="Times New Roman"/>
          <w:color w:val="000000"/>
          <w:sz w:val="24"/>
          <w:szCs w:val="24"/>
        </w:rPr>
        <w:t>V</w:t>
      </w:r>
      <w:r w:rsidRPr="0009609E">
        <w:rPr>
          <w:rFonts w:ascii="Times New Roman" w:eastAsia="Calibri" w:hAnsi="Times New Roman" w:cs="Times New Roman"/>
          <w:color w:val="000000"/>
          <w:sz w:val="24"/>
          <w:szCs w:val="24"/>
        </w:rPr>
        <w:t>ienreizējie pasākumi</w:t>
      </w:r>
      <w:r>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Tādējādi tiek iegūta nominālā bilance, kas 2016.gadā ir -1,4% no IKP, 2017. gadā – 1,3% no IKP un 2018.gadā – 1,7% no IKP.</w:t>
      </w:r>
    </w:p>
    <w:p w14:paraId="799B6B0C" w14:textId="77777777" w:rsidR="004C7E0F" w:rsidRPr="00075DEB" w:rsidRDefault="004C7E0F" w:rsidP="004C7E0F">
      <w:pPr>
        <w:spacing w:before="320" w:after="120" w:line="240" w:lineRule="auto"/>
        <w:ind w:firstLine="720"/>
        <w:jc w:val="both"/>
        <w:rPr>
          <w:rFonts w:ascii="Times New Roman" w:eastAsia="Calibri" w:hAnsi="Times New Roman" w:cs="Times New Roman"/>
          <w:b/>
          <w:color w:val="000000"/>
          <w:sz w:val="24"/>
          <w:szCs w:val="24"/>
        </w:rPr>
      </w:pPr>
      <w:r w:rsidRPr="00075DEB">
        <w:rPr>
          <w:rFonts w:ascii="Times New Roman" w:eastAsia="Calibri" w:hAnsi="Times New Roman" w:cs="Times New Roman"/>
          <w:b/>
          <w:color w:val="000000"/>
          <w:sz w:val="24"/>
          <w:szCs w:val="24"/>
        </w:rPr>
        <w:t>Bilances mērķi, atbilst</w:t>
      </w:r>
      <w:r>
        <w:rPr>
          <w:rFonts w:ascii="Times New Roman" w:eastAsia="Calibri" w:hAnsi="Times New Roman" w:cs="Times New Roman"/>
          <w:b/>
          <w:color w:val="000000"/>
          <w:sz w:val="24"/>
          <w:szCs w:val="24"/>
        </w:rPr>
        <w:t>oši nacionālajai metodoloģijai</w:t>
      </w:r>
    </w:p>
    <w:p w14:paraId="6DC0E636" w14:textId="77777777" w:rsidR="00F05D16" w:rsidRDefault="004C7E0F" w:rsidP="004C7E0F">
      <w:pPr>
        <w:spacing w:before="120" w:after="12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Šajā sadaļā tiek noskaidrots</w:t>
      </w:r>
      <w:r w:rsidR="00612F17">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kāds var būt maksimāli pieļaujamais strukturālās bilances mērķis atbilstoši nacionālajai metodoloģijai. Kā jau iepriekš tika minēts, izejas pozīcija strukturālās bilances mērķa noteikšanai, atbilstoši nacionālajai metodoloģijai ir VTM -0,5% no IKP. Zemāk esošajā tabulā ir atspoguļotas turpmākās korekcijas.</w:t>
      </w:r>
    </w:p>
    <w:p w14:paraId="43EB7A8B" w14:textId="1C4C8F58" w:rsidR="0009609E" w:rsidRPr="00075DEB" w:rsidRDefault="0009609E" w:rsidP="00F05D16">
      <w:pPr>
        <w:spacing w:before="160" w:after="120" w:line="240" w:lineRule="auto"/>
        <w:ind w:firstLine="720"/>
        <w:jc w:val="right"/>
        <w:rPr>
          <w:rFonts w:ascii="Times New Roman" w:eastAsia="Calibri" w:hAnsi="Times New Roman" w:cs="Times New Roman"/>
          <w:b/>
          <w:color w:val="000000"/>
          <w:sz w:val="24"/>
          <w:szCs w:val="24"/>
        </w:rPr>
      </w:pPr>
      <w:r w:rsidRPr="0009609E">
        <w:rPr>
          <w:rFonts w:ascii="Times New Roman" w:eastAsia="Calibri" w:hAnsi="Times New Roman" w:cs="Times New Roman"/>
          <w:b/>
          <w:color w:val="000000"/>
          <w:sz w:val="24"/>
          <w:szCs w:val="24"/>
        </w:rPr>
        <w:t>3.2.tabula. Strukturālās bilances mērķis, atbilst</w:t>
      </w:r>
      <w:r w:rsidR="00075DEB">
        <w:rPr>
          <w:rFonts w:ascii="Times New Roman" w:eastAsia="Calibri" w:hAnsi="Times New Roman" w:cs="Times New Roman"/>
          <w:b/>
          <w:color w:val="000000"/>
          <w:sz w:val="24"/>
          <w:szCs w:val="24"/>
        </w:rPr>
        <w:t xml:space="preserve">oši nacionālajai metodoloģijai </w:t>
      </w:r>
    </w:p>
    <w:tbl>
      <w:tblPr>
        <w:tblStyle w:val="GridTable6ColorfulAccent1"/>
        <w:tblW w:w="9341" w:type="dxa"/>
        <w:jc w:val="center"/>
        <w:tblLook w:val="04A0" w:firstRow="1" w:lastRow="0" w:firstColumn="1" w:lastColumn="0" w:noHBand="0" w:noVBand="1"/>
      </w:tblPr>
      <w:tblGrid>
        <w:gridCol w:w="1848"/>
        <w:gridCol w:w="1245"/>
        <w:gridCol w:w="861"/>
        <w:gridCol w:w="993"/>
        <w:gridCol w:w="850"/>
        <w:gridCol w:w="851"/>
        <w:gridCol w:w="850"/>
        <w:gridCol w:w="992"/>
        <w:gridCol w:w="851"/>
      </w:tblGrid>
      <w:tr w:rsidR="00F05D16" w:rsidRPr="00F05D16" w14:paraId="1102988C" w14:textId="77777777" w:rsidTr="00F05D1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93" w:type="dxa"/>
            <w:gridSpan w:val="2"/>
            <w:noWrap/>
            <w:hideMark/>
          </w:tcPr>
          <w:p w14:paraId="3BC8FFF6" w14:textId="77777777" w:rsidR="0009609E" w:rsidRPr="00F05D16" w:rsidRDefault="0009609E" w:rsidP="0009609E">
            <w:pPr>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61" w:type="dxa"/>
            <w:noWrap/>
            <w:hideMark/>
          </w:tcPr>
          <w:p w14:paraId="29105590"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2013</w:t>
            </w:r>
          </w:p>
        </w:tc>
        <w:tc>
          <w:tcPr>
            <w:tcW w:w="993" w:type="dxa"/>
            <w:noWrap/>
            <w:hideMark/>
          </w:tcPr>
          <w:p w14:paraId="72AF3CF1"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2014</w:t>
            </w:r>
          </w:p>
        </w:tc>
        <w:tc>
          <w:tcPr>
            <w:tcW w:w="850" w:type="dxa"/>
            <w:noWrap/>
            <w:hideMark/>
          </w:tcPr>
          <w:p w14:paraId="47C1DC44"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2015</w:t>
            </w:r>
          </w:p>
        </w:tc>
        <w:tc>
          <w:tcPr>
            <w:tcW w:w="851" w:type="dxa"/>
            <w:noWrap/>
            <w:hideMark/>
          </w:tcPr>
          <w:p w14:paraId="732BFA23"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2016</w:t>
            </w:r>
          </w:p>
        </w:tc>
        <w:tc>
          <w:tcPr>
            <w:tcW w:w="850" w:type="dxa"/>
            <w:noWrap/>
            <w:hideMark/>
          </w:tcPr>
          <w:p w14:paraId="7927FDF5"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2017</w:t>
            </w:r>
          </w:p>
        </w:tc>
        <w:tc>
          <w:tcPr>
            <w:tcW w:w="992" w:type="dxa"/>
            <w:noWrap/>
            <w:hideMark/>
          </w:tcPr>
          <w:p w14:paraId="0E4699EA"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2018</w:t>
            </w:r>
          </w:p>
        </w:tc>
        <w:tc>
          <w:tcPr>
            <w:tcW w:w="851" w:type="dxa"/>
            <w:noWrap/>
            <w:hideMark/>
          </w:tcPr>
          <w:p w14:paraId="458B6DDD" w14:textId="77777777" w:rsidR="0009609E" w:rsidRPr="00F05D16" w:rsidRDefault="0009609E" w:rsidP="000960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2019</w:t>
            </w:r>
          </w:p>
        </w:tc>
      </w:tr>
      <w:tr w:rsidR="00F05D16" w:rsidRPr="00F05D16" w14:paraId="14EA445F" w14:textId="77777777" w:rsidTr="00F05D16">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3093" w:type="dxa"/>
            <w:gridSpan w:val="2"/>
            <w:noWrap/>
            <w:hideMark/>
          </w:tcPr>
          <w:p w14:paraId="2BA2DD7F" w14:textId="77777777" w:rsidR="0009609E" w:rsidRPr="00F05D16" w:rsidRDefault="0009609E"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VTM</w:t>
            </w:r>
          </w:p>
        </w:tc>
        <w:tc>
          <w:tcPr>
            <w:tcW w:w="861" w:type="dxa"/>
            <w:noWrap/>
            <w:vAlign w:val="center"/>
            <w:hideMark/>
          </w:tcPr>
          <w:p w14:paraId="2218122D"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-0,50%</w:t>
            </w:r>
          </w:p>
        </w:tc>
        <w:tc>
          <w:tcPr>
            <w:tcW w:w="993" w:type="dxa"/>
            <w:noWrap/>
            <w:vAlign w:val="center"/>
            <w:hideMark/>
          </w:tcPr>
          <w:p w14:paraId="107E154D"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-0,50%</w:t>
            </w:r>
          </w:p>
        </w:tc>
        <w:tc>
          <w:tcPr>
            <w:tcW w:w="850" w:type="dxa"/>
            <w:noWrap/>
            <w:vAlign w:val="center"/>
            <w:hideMark/>
          </w:tcPr>
          <w:p w14:paraId="5003F35A"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-0,50%</w:t>
            </w:r>
          </w:p>
        </w:tc>
        <w:tc>
          <w:tcPr>
            <w:tcW w:w="851" w:type="dxa"/>
            <w:noWrap/>
            <w:vAlign w:val="center"/>
            <w:hideMark/>
          </w:tcPr>
          <w:p w14:paraId="429BAF5E"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-0,50%</w:t>
            </w:r>
          </w:p>
        </w:tc>
        <w:tc>
          <w:tcPr>
            <w:tcW w:w="850" w:type="dxa"/>
            <w:noWrap/>
            <w:vAlign w:val="center"/>
            <w:hideMark/>
          </w:tcPr>
          <w:p w14:paraId="69A383A9"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-0,50%</w:t>
            </w:r>
          </w:p>
        </w:tc>
        <w:tc>
          <w:tcPr>
            <w:tcW w:w="992" w:type="dxa"/>
            <w:noWrap/>
            <w:vAlign w:val="center"/>
            <w:hideMark/>
          </w:tcPr>
          <w:p w14:paraId="40FED46B"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-0,50%</w:t>
            </w:r>
          </w:p>
        </w:tc>
        <w:tc>
          <w:tcPr>
            <w:tcW w:w="851" w:type="dxa"/>
            <w:noWrap/>
            <w:vAlign w:val="center"/>
            <w:hideMark/>
          </w:tcPr>
          <w:p w14:paraId="0B27E78A"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-0,50%</w:t>
            </w:r>
          </w:p>
        </w:tc>
      </w:tr>
      <w:tr w:rsidR="00F05D16" w:rsidRPr="00F05D16" w14:paraId="4B19F8CF" w14:textId="77777777" w:rsidTr="00F05D16">
        <w:trPr>
          <w:trHeight w:val="180"/>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7A4D9C91" w14:textId="77777777" w:rsidR="0009609E" w:rsidRPr="00F05D16" w:rsidRDefault="0009609E"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Pieļaujamās atkāpes</w:t>
            </w:r>
          </w:p>
        </w:tc>
        <w:tc>
          <w:tcPr>
            <w:tcW w:w="1245" w:type="dxa"/>
            <w:noWrap/>
            <w:hideMark/>
          </w:tcPr>
          <w:p w14:paraId="0E7C5F63"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no 2% uz 4%</w:t>
            </w:r>
          </w:p>
        </w:tc>
        <w:tc>
          <w:tcPr>
            <w:tcW w:w="861" w:type="dxa"/>
            <w:shd w:val="clear" w:color="auto" w:fill="D9D9D9" w:themeFill="background1" w:themeFillShade="D9"/>
            <w:noWrap/>
            <w:vAlign w:val="center"/>
            <w:hideMark/>
          </w:tcPr>
          <w:p w14:paraId="5464246B"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-0,50%</w:t>
            </w:r>
          </w:p>
        </w:tc>
        <w:tc>
          <w:tcPr>
            <w:tcW w:w="993" w:type="dxa"/>
            <w:noWrap/>
            <w:vAlign w:val="center"/>
            <w:hideMark/>
          </w:tcPr>
          <w:p w14:paraId="20D5F357"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-0,50%</w:t>
            </w:r>
          </w:p>
        </w:tc>
        <w:tc>
          <w:tcPr>
            <w:tcW w:w="850" w:type="dxa"/>
            <w:noWrap/>
            <w:vAlign w:val="center"/>
            <w:hideMark/>
          </w:tcPr>
          <w:p w14:paraId="4AE51B9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-0,50%</w:t>
            </w:r>
          </w:p>
        </w:tc>
        <w:tc>
          <w:tcPr>
            <w:tcW w:w="851" w:type="dxa"/>
            <w:shd w:val="clear" w:color="auto" w:fill="D9D9D9" w:themeFill="background1" w:themeFillShade="D9"/>
            <w:noWrap/>
            <w:vAlign w:val="center"/>
            <w:hideMark/>
          </w:tcPr>
          <w:p w14:paraId="526102B1"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0,00%</w:t>
            </w:r>
          </w:p>
        </w:tc>
        <w:tc>
          <w:tcPr>
            <w:tcW w:w="850" w:type="dxa"/>
            <w:noWrap/>
            <w:vAlign w:val="center"/>
            <w:hideMark/>
          </w:tcPr>
          <w:p w14:paraId="6EB12407"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992" w:type="dxa"/>
            <w:noWrap/>
            <w:vAlign w:val="center"/>
            <w:hideMark/>
          </w:tcPr>
          <w:p w14:paraId="1CC017AE"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51" w:type="dxa"/>
            <w:noWrap/>
            <w:vAlign w:val="center"/>
            <w:hideMark/>
          </w:tcPr>
          <w:p w14:paraId="105940D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r>
      <w:tr w:rsidR="00F05D16" w:rsidRPr="00F05D16" w14:paraId="5C2DE5C5" w14:textId="77777777" w:rsidTr="00F05D16">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3E6B0294" w14:textId="77777777" w:rsidR="0009609E" w:rsidRPr="00F05D16" w:rsidRDefault="0009609E"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 </w:t>
            </w:r>
          </w:p>
        </w:tc>
        <w:tc>
          <w:tcPr>
            <w:tcW w:w="1245" w:type="dxa"/>
            <w:noWrap/>
            <w:hideMark/>
          </w:tcPr>
          <w:p w14:paraId="2A4EB864" w14:textId="77777777" w:rsidR="0009609E" w:rsidRPr="00F05D16"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no 4% uz 5%</w:t>
            </w:r>
          </w:p>
        </w:tc>
        <w:tc>
          <w:tcPr>
            <w:tcW w:w="861" w:type="dxa"/>
            <w:noWrap/>
            <w:vAlign w:val="center"/>
            <w:hideMark/>
          </w:tcPr>
          <w:p w14:paraId="290498E4"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993" w:type="dxa"/>
            <w:noWrap/>
            <w:vAlign w:val="center"/>
            <w:hideMark/>
          </w:tcPr>
          <w:p w14:paraId="306A1E06"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50" w:type="dxa"/>
            <w:shd w:val="clear" w:color="auto" w:fill="D9D9D9" w:themeFill="background1" w:themeFillShade="D9"/>
            <w:noWrap/>
            <w:vAlign w:val="center"/>
            <w:hideMark/>
          </w:tcPr>
          <w:p w14:paraId="720E92AF"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-0,27%</w:t>
            </w:r>
          </w:p>
        </w:tc>
        <w:tc>
          <w:tcPr>
            <w:tcW w:w="851" w:type="dxa"/>
            <w:noWrap/>
            <w:vAlign w:val="center"/>
            <w:hideMark/>
          </w:tcPr>
          <w:p w14:paraId="341E40DB"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-0,27%</w:t>
            </w:r>
          </w:p>
        </w:tc>
        <w:tc>
          <w:tcPr>
            <w:tcW w:w="850" w:type="dxa"/>
            <w:noWrap/>
            <w:vAlign w:val="center"/>
            <w:hideMark/>
          </w:tcPr>
          <w:p w14:paraId="07AAE003"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-0,27%</w:t>
            </w:r>
          </w:p>
        </w:tc>
        <w:tc>
          <w:tcPr>
            <w:tcW w:w="992" w:type="dxa"/>
            <w:shd w:val="clear" w:color="auto" w:fill="D9D9D9" w:themeFill="background1" w:themeFillShade="D9"/>
            <w:noWrap/>
            <w:vAlign w:val="center"/>
            <w:hideMark/>
          </w:tcPr>
          <w:p w14:paraId="41608D62"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0,00%</w:t>
            </w:r>
          </w:p>
        </w:tc>
        <w:tc>
          <w:tcPr>
            <w:tcW w:w="851" w:type="dxa"/>
            <w:noWrap/>
            <w:vAlign w:val="center"/>
            <w:hideMark/>
          </w:tcPr>
          <w:p w14:paraId="301CCE95"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r>
      <w:tr w:rsidR="00F05D16" w:rsidRPr="00F05D16" w14:paraId="34F89FF9" w14:textId="77777777" w:rsidTr="00F05D16">
        <w:trPr>
          <w:trHeight w:val="114"/>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67D4A6E2" w14:textId="77777777" w:rsidR="0009609E" w:rsidRPr="00F05D16" w:rsidRDefault="0009609E"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 </w:t>
            </w:r>
          </w:p>
        </w:tc>
        <w:tc>
          <w:tcPr>
            <w:tcW w:w="1245" w:type="dxa"/>
            <w:noWrap/>
            <w:hideMark/>
          </w:tcPr>
          <w:p w14:paraId="641310A7"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no 5% uz 6%</w:t>
            </w:r>
          </w:p>
        </w:tc>
        <w:tc>
          <w:tcPr>
            <w:tcW w:w="861" w:type="dxa"/>
            <w:noWrap/>
            <w:vAlign w:val="center"/>
            <w:hideMark/>
          </w:tcPr>
          <w:p w14:paraId="4A72CDBB"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993" w:type="dxa"/>
            <w:noWrap/>
            <w:vAlign w:val="center"/>
            <w:hideMark/>
          </w:tcPr>
          <w:p w14:paraId="314B4A76"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50" w:type="dxa"/>
            <w:noWrap/>
            <w:vAlign w:val="center"/>
            <w:hideMark/>
          </w:tcPr>
          <w:p w14:paraId="30746E4E"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51" w:type="dxa"/>
            <w:shd w:val="clear" w:color="auto" w:fill="D9D9D9" w:themeFill="background1" w:themeFillShade="D9"/>
            <w:noWrap/>
            <w:vAlign w:val="center"/>
            <w:hideMark/>
          </w:tcPr>
          <w:p w14:paraId="7DB86D37"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-0,29%</w:t>
            </w:r>
          </w:p>
        </w:tc>
        <w:tc>
          <w:tcPr>
            <w:tcW w:w="850" w:type="dxa"/>
            <w:noWrap/>
            <w:vAlign w:val="center"/>
            <w:hideMark/>
          </w:tcPr>
          <w:p w14:paraId="2742D0BE"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-0,29%</w:t>
            </w:r>
          </w:p>
        </w:tc>
        <w:tc>
          <w:tcPr>
            <w:tcW w:w="992" w:type="dxa"/>
            <w:noWrap/>
            <w:vAlign w:val="center"/>
            <w:hideMark/>
          </w:tcPr>
          <w:p w14:paraId="494EC2F1"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-0,29%</w:t>
            </w:r>
          </w:p>
        </w:tc>
        <w:tc>
          <w:tcPr>
            <w:tcW w:w="851" w:type="dxa"/>
            <w:noWrap/>
            <w:vAlign w:val="center"/>
            <w:hideMark/>
          </w:tcPr>
          <w:p w14:paraId="6D99810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0,00%</w:t>
            </w:r>
          </w:p>
        </w:tc>
      </w:tr>
      <w:tr w:rsidR="00F05D16" w:rsidRPr="00F05D16" w14:paraId="358A3C7B" w14:textId="77777777" w:rsidTr="00F05D16">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411DDB9D" w14:textId="77777777" w:rsidR="0009609E" w:rsidRPr="00F05D16" w:rsidRDefault="0009609E"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Jaunās atkāpes</w:t>
            </w:r>
          </w:p>
        </w:tc>
        <w:tc>
          <w:tcPr>
            <w:tcW w:w="1245" w:type="dxa"/>
            <w:noWrap/>
            <w:hideMark/>
          </w:tcPr>
          <w:p w14:paraId="317EECCE" w14:textId="77777777" w:rsidR="0009609E" w:rsidRPr="00F05D16"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61" w:type="dxa"/>
            <w:shd w:val="clear" w:color="auto" w:fill="D9D9D9" w:themeFill="background1" w:themeFillShade="D9"/>
            <w:noWrap/>
            <w:vAlign w:val="center"/>
            <w:hideMark/>
          </w:tcPr>
          <w:p w14:paraId="6D4F5B59"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-1,00%</w:t>
            </w:r>
          </w:p>
        </w:tc>
        <w:tc>
          <w:tcPr>
            <w:tcW w:w="993" w:type="dxa"/>
            <w:shd w:val="clear" w:color="auto" w:fill="D9D9D9" w:themeFill="background1" w:themeFillShade="D9"/>
            <w:noWrap/>
            <w:vAlign w:val="center"/>
            <w:hideMark/>
          </w:tcPr>
          <w:p w14:paraId="18704E3C"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-1,00%</w:t>
            </w:r>
          </w:p>
        </w:tc>
        <w:tc>
          <w:tcPr>
            <w:tcW w:w="850" w:type="dxa"/>
            <w:shd w:val="clear" w:color="auto" w:fill="D9D9D9" w:themeFill="background1" w:themeFillShade="D9"/>
            <w:noWrap/>
            <w:vAlign w:val="center"/>
            <w:hideMark/>
          </w:tcPr>
          <w:p w14:paraId="277612AA"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-1,27%</w:t>
            </w:r>
          </w:p>
        </w:tc>
        <w:tc>
          <w:tcPr>
            <w:tcW w:w="851" w:type="dxa"/>
            <w:shd w:val="clear" w:color="auto" w:fill="D9D9D9" w:themeFill="background1" w:themeFillShade="D9"/>
            <w:noWrap/>
            <w:vAlign w:val="center"/>
            <w:hideMark/>
          </w:tcPr>
          <w:p w14:paraId="77B6C671"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-1,06%</w:t>
            </w:r>
          </w:p>
        </w:tc>
        <w:tc>
          <w:tcPr>
            <w:tcW w:w="850" w:type="dxa"/>
            <w:shd w:val="clear" w:color="auto" w:fill="D9D9D9" w:themeFill="background1" w:themeFillShade="D9"/>
            <w:noWrap/>
            <w:vAlign w:val="center"/>
            <w:hideMark/>
          </w:tcPr>
          <w:p w14:paraId="39E7D037"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-1,06%</w:t>
            </w:r>
          </w:p>
        </w:tc>
        <w:tc>
          <w:tcPr>
            <w:tcW w:w="992" w:type="dxa"/>
            <w:shd w:val="clear" w:color="auto" w:fill="D9D9D9" w:themeFill="background1" w:themeFillShade="D9"/>
            <w:noWrap/>
            <w:vAlign w:val="center"/>
            <w:hideMark/>
          </w:tcPr>
          <w:p w14:paraId="0D2BAEDE"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-0,79%</w:t>
            </w:r>
          </w:p>
        </w:tc>
        <w:tc>
          <w:tcPr>
            <w:tcW w:w="851" w:type="dxa"/>
            <w:shd w:val="clear" w:color="auto" w:fill="D9D9D9" w:themeFill="background1" w:themeFillShade="D9"/>
            <w:noWrap/>
            <w:vAlign w:val="center"/>
            <w:hideMark/>
          </w:tcPr>
          <w:p w14:paraId="5FE028CD"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-0,50%</w:t>
            </w:r>
          </w:p>
        </w:tc>
      </w:tr>
      <w:tr w:rsidR="00F05D16" w:rsidRPr="00F05D16" w14:paraId="4AA98CE2" w14:textId="77777777" w:rsidTr="001058C2">
        <w:trPr>
          <w:trHeight w:val="234"/>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133F05C4" w14:textId="1931EB86" w:rsidR="0009609E" w:rsidRPr="00F05D16" w:rsidRDefault="004C6CC5"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S</w:t>
            </w:r>
            <w:r w:rsidR="0009609E" w:rsidRPr="00F05D16">
              <w:rPr>
                <w:rFonts w:ascii="Times New Roman" w:eastAsia="Times New Roman" w:hAnsi="Times New Roman" w:cs="Times New Roman"/>
                <w:b w:val="0"/>
                <w:color w:val="auto"/>
                <w:sz w:val="18"/>
                <w:szCs w:val="18"/>
                <w:lang w:eastAsia="lv-LV"/>
              </w:rPr>
              <w:t>trukturālās reformas</w:t>
            </w:r>
          </w:p>
        </w:tc>
        <w:tc>
          <w:tcPr>
            <w:tcW w:w="1245" w:type="dxa"/>
            <w:noWrap/>
            <w:hideMark/>
          </w:tcPr>
          <w:p w14:paraId="73CCE3D3"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61" w:type="dxa"/>
            <w:shd w:val="clear" w:color="auto" w:fill="D9D9D9" w:themeFill="background1" w:themeFillShade="D9"/>
            <w:noWrap/>
            <w:vAlign w:val="center"/>
            <w:hideMark/>
          </w:tcPr>
          <w:p w14:paraId="164D1BA1"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993" w:type="dxa"/>
            <w:shd w:val="clear" w:color="auto" w:fill="D9D9D9" w:themeFill="background1" w:themeFillShade="D9"/>
            <w:noWrap/>
            <w:vAlign w:val="center"/>
            <w:hideMark/>
          </w:tcPr>
          <w:p w14:paraId="27299A46"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50" w:type="dxa"/>
            <w:shd w:val="clear" w:color="auto" w:fill="D9D9D9" w:themeFill="background1" w:themeFillShade="D9"/>
            <w:noWrap/>
            <w:vAlign w:val="center"/>
            <w:hideMark/>
          </w:tcPr>
          <w:p w14:paraId="02103E69"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51" w:type="dxa"/>
            <w:shd w:val="clear" w:color="auto" w:fill="FFF2CC" w:themeFill="accent4" w:themeFillTint="33"/>
            <w:noWrap/>
            <w:vAlign w:val="center"/>
            <w:hideMark/>
          </w:tcPr>
          <w:p w14:paraId="4436E07E"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-0,50%</w:t>
            </w:r>
          </w:p>
        </w:tc>
        <w:tc>
          <w:tcPr>
            <w:tcW w:w="850" w:type="dxa"/>
            <w:shd w:val="clear" w:color="auto" w:fill="FFF2CC" w:themeFill="accent4" w:themeFillTint="33"/>
            <w:noWrap/>
            <w:vAlign w:val="center"/>
            <w:hideMark/>
          </w:tcPr>
          <w:p w14:paraId="084F0AE9"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-0,34%</w:t>
            </w:r>
          </w:p>
        </w:tc>
        <w:tc>
          <w:tcPr>
            <w:tcW w:w="992" w:type="dxa"/>
            <w:shd w:val="clear" w:color="auto" w:fill="FFF2CC" w:themeFill="accent4" w:themeFillTint="33"/>
            <w:noWrap/>
            <w:vAlign w:val="center"/>
            <w:hideMark/>
          </w:tcPr>
          <w:p w14:paraId="5B623B8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-0,50%</w:t>
            </w:r>
          </w:p>
        </w:tc>
        <w:tc>
          <w:tcPr>
            <w:tcW w:w="851" w:type="dxa"/>
            <w:shd w:val="clear" w:color="auto" w:fill="FFF2CC" w:themeFill="accent4" w:themeFillTint="33"/>
            <w:noWrap/>
            <w:vAlign w:val="center"/>
            <w:hideMark/>
          </w:tcPr>
          <w:p w14:paraId="62935ED2"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-0,50%</w:t>
            </w:r>
          </w:p>
        </w:tc>
      </w:tr>
      <w:tr w:rsidR="00F05D16" w:rsidRPr="00F05D16" w14:paraId="2E543226" w14:textId="77777777" w:rsidTr="00F05D16">
        <w:trPr>
          <w:cnfStyle w:val="000000100000" w:firstRow="0" w:lastRow="0" w:firstColumn="0" w:lastColumn="0" w:oddVBand="0" w:evenVBand="0" w:oddHBand="1" w:evenHBand="0" w:firstRowFirstColumn="0" w:firstRowLastColumn="0" w:lastRowFirstColumn="0" w:lastRowLastColumn="0"/>
          <w:trHeight w:val="125"/>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658E97D6" w14:textId="77777777" w:rsidR="0009609E" w:rsidRPr="00F05D16" w:rsidRDefault="0009609E"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VTBIL SB mērķis</w:t>
            </w:r>
          </w:p>
        </w:tc>
        <w:tc>
          <w:tcPr>
            <w:tcW w:w="1245" w:type="dxa"/>
            <w:noWrap/>
            <w:hideMark/>
          </w:tcPr>
          <w:p w14:paraId="2A63CF80" w14:textId="77777777" w:rsidR="0009609E" w:rsidRPr="00F05D16"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61" w:type="dxa"/>
            <w:shd w:val="clear" w:color="auto" w:fill="D9D9D9" w:themeFill="background1" w:themeFillShade="D9"/>
            <w:noWrap/>
            <w:vAlign w:val="center"/>
            <w:hideMark/>
          </w:tcPr>
          <w:p w14:paraId="521C2469"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-1,30%</w:t>
            </w:r>
          </w:p>
        </w:tc>
        <w:tc>
          <w:tcPr>
            <w:tcW w:w="993" w:type="dxa"/>
            <w:shd w:val="clear" w:color="auto" w:fill="D9D9D9" w:themeFill="background1" w:themeFillShade="D9"/>
            <w:noWrap/>
            <w:vAlign w:val="center"/>
            <w:hideMark/>
          </w:tcPr>
          <w:p w14:paraId="1CADB1DA"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-1,00%</w:t>
            </w:r>
          </w:p>
        </w:tc>
        <w:tc>
          <w:tcPr>
            <w:tcW w:w="850" w:type="dxa"/>
            <w:noWrap/>
            <w:vAlign w:val="center"/>
            <w:hideMark/>
          </w:tcPr>
          <w:p w14:paraId="4E8CCCA4"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-1,00%</w:t>
            </w:r>
          </w:p>
        </w:tc>
        <w:tc>
          <w:tcPr>
            <w:tcW w:w="851" w:type="dxa"/>
            <w:noWrap/>
            <w:vAlign w:val="center"/>
            <w:hideMark/>
          </w:tcPr>
          <w:p w14:paraId="0A937E42"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-1,56%</w:t>
            </w:r>
          </w:p>
        </w:tc>
        <w:tc>
          <w:tcPr>
            <w:tcW w:w="850" w:type="dxa"/>
            <w:noWrap/>
            <w:vAlign w:val="center"/>
            <w:hideMark/>
          </w:tcPr>
          <w:p w14:paraId="575F52D0"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-1,40%</w:t>
            </w:r>
          </w:p>
        </w:tc>
        <w:tc>
          <w:tcPr>
            <w:tcW w:w="992" w:type="dxa"/>
            <w:noWrap/>
            <w:vAlign w:val="center"/>
            <w:hideMark/>
          </w:tcPr>
          <w:p w14:paraId="7EF8CF2C"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-1,29%</w:t>
            </w:r>
          </w:p>
        </w:tc>
        <w:tc>
          <w:tcPr>
            <w:tcW w:w="851" w:type="dxa"/>
            <w:noWrap/>
            <w:vAlign w:val="center"/>
            <w:hideMark/>
          </w:tcPr>
          <w:p w14:paraId="2A30D47B"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 </w:t>
            </w:r>
          </w:p>
        </w:tc>
      </w:tr>
      <w:tr w:rsidR="00F05D16" w:rsidRPr="00F05D16" w14:paraId="019866C0" w14:textId="77777777" w:rsidTr="00F05D16">
        <w:trPr>
          <w:trHeight w:val="128"/>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6F14AFDF" w14:textId="4F7AEBBD" w:rsidR="0009609E" w:rsidRPr="00F05D16" w:rsidRDefault="004C6CC5"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S</w:t>
            </w:r>
            <w:r w:rsidR="0009609E" w:rsidRPr="00F05D16">
              <w:rPr>
                <w:rFonts w:ascii="Times New Roman" w:eastAsia="Times New Roman" w:hAnsi="Times New Roman" w:cs="Times New Roman"/>
                <w:b w:val="0"/>
                <w:color w:val="auto"/>
                <w:sz w:val="18"/>
                <w:szCs w:val="18"/>
                <w:lang w:eastAsia="lv-LV"/>
              </w:rPr>
              <w:t>trukturālā bilance</w:t>
            </w:r>
          </w:p>
        </w:tc>
        <w:tc>
          <w:tcPr>
            <w:tcW w:w="1245" w:type="dxa"/>
            <w:noWrap/>
            <w:hideMark/>
          </w:tcPr>
          <w:p w14:paraId="07ABF693"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61" w:type="dxa"/>
            <w:shd w:val="clear" w:color="auto" w:fill="D9D9D9" w:themeFill="background1" w:themeFillShade="D9"/>
            <w:noWrap/>
            <w:vAlign w:val="center"/>
            <w:hideMark/>
          </w:tcPr>
          <w:p w14:paraId="6B1F22EB"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-1,20%</w:t>
            </w:r>
          </w:p>
        </w:tc>
        <w:tc>
          <w:tcPr>
            <w:tcW w:w="993" w:type="dxa"/>
            <w:shd w:val="clear" w:color="auto" w:fill="D9D9D9" w:themeFill="background1" w:themeFillShade="D9"/>
            <w:noWrap/>
            <w:vAlign w:val="center"/>
            <w:hideMark/>
          </w:tcPr>
          <w:p w14:paraId="248B7015"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-1,40%</w:t>
            </w:r>
          </w:p>
        </w:tc>
        <w:tc>
          <w:tcPr>
            <w:tcW w:w="850" w:type="dxa"/>
            <w:shd w:val="clear" w:color="auto" w:fill="D9D9D9" w:themeFill="background1" w:themeFillShade="D9"/>
            <w:noWrap/>
            <w:vAlign w:val="center"/>
            <w:hideMark/>
          </w:tcPr>
          <w:p w14:paraId="14579FE3"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-1,40%</w:t>
            </w:r>
          </w:p>
        </w:tc>
        <w:tc>
          <w:tcPr>
            <w:tcW w:w="851" w:type="dxa"/>
            <w:shd w:val="clear" w:color="auto" w:fill="D9D9D9" w:themeFill="background1" w:themeFillShade="D9"/>
            <w:noWrap/>
            <w:vAlign w:val="center"/>
            <w:hideMark/>
          </w:tcPr>
          <w:p w14:paraId="009D7B2B"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-1,56%</w:t>
            </w:r>
          </w:p>
        </w:tc>
        <w:tc>
          <w:tcPr>
            <w:tcW w:w="850" w:type="dxa"/>
            <w:shd w:val="clear" w:color="auto" w:fill="D9D9D9" w:themeFill="background1" w:themeFillShade="D9"/>
            <w:noWrap/>
            <w:vAlign w:val="center"/>
            <w:hideMark/>
          </w:tcPr>
          <w:p w14:paraId="348AE0D6"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-1,40%</w:t>
            </w:r>
          </w:p>
        </w:tc>
        <w:tc>
          <w:tcPr>
            <w:tcW w:w="992" w:type="dxa"/>
            <w:shd w:val="clear" w:color="auto" w:fill="D9D9D9" w:themeFill="background1" w:themeFillShade="D9"/>
            <w:noWrap/>
            <w:vAlign w:val="center"/>
            <w:hideMark/>
          </w:tcPr>
          <w:p w14:paraId="4EE03EC5"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-1,29%</w:t>
            </w:r>
          </w:p>
        </w:tc>
        <w:tc>
          <w:tcPr>
            <w:tcW w:w="851" w:type="dxa"/>
            <w:shd w:val="clear" w:color="auto" w:fill="D9D9D9" w:themeFill="background1" w:themeFillShade="D9"/>
            <w:noWrap/>
            <w:vAlign w:val="center"/>
            <w:hideMark/>
          </w:tcPr>
          <w:p w14:paraId="0BD4E66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-1,00%</w:t>
            </w:r>
          </w:p>
        </w:tc>
      </w:tr>
      <w:tr w:rsidR="00F05D16" w:rsidRPr="00F05D16" w14:paraId="3BEA42C6" w14:textId="77777777" w:rsidTr="00F05D16">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4EAA78FD" w14:textId="14DD39CD" w:rsidR="0009609E" w:rsidRPr="00F05D16" w:rsidRDefault="004C6CC5"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K</w:t>
            </w:r>
            <w:r w:rsidR="0009609E" w:rsidRPr="00F05D16">
              <w:rPr>
                <w:rFonts w:ascii="Times New Roman" w:eastAsia="Times New Roman" w:hAnsi="Times New Roman" w:cs="Times New Roman"/>
                <w:b w:val="0"/>
                <w:color w:val="auto"/>
                <w:sz w:val="18"/>
                <w:szCs w:val="18"/>
                <w:lang w:eastAsia="lv-LV"/>
              </w:rPr>
              <w:t>umulatīvā nobīde</w:t>
            </w:r>
          </w:p>
        </w:tc>
        <w:tc>
          <w:tcPr>
            <w:tcW w:w="1245" w:type="dxa"/>
            <w:noWrap/>
            <w:hideMark/>
          </w:tcPr>
          <w:p w14:paraId="7CF06650" w14:textId="77777777" w:rsidR="0009609E" w:rsidRPr="00F05D16"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61" w:type="dxa"/>
            <w:shd w:val="clear" w:color="auto" w:fill="FFC000"/>
            <w:noWrap/>
            <w:vAlign w:val="center"/>
            <w:hideMark/>
          </w:tcPr>
          <w:p w14:paraId="2D91FFA7"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0,10%</w:t>
            </w:r>
          </w:p>
        </w:tc>
        <w:tc>
          <w:tcPr>
            <w:tcW w:w="993" w:type="dxa"/>
            <w:noWrap/>
            <w:vAlign w:val="center"/>
            <w:hideMark/>
          </w:tcPr>
          <w:p w14:paraId="5509756B"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-0,30%</w:t>
            </w:r>
          </w:p>
        </w:tc>
        <w:tc>
          <w:tcPr>
            <w:tcW w:w="850" w:type="dxa"/>
            <w:noWrap/>
            <w:vAlign w:val="center"/>
            <w:hideMark/>
          </w:tcPr>
          <w:p w14:paraId="66EA7C36"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-0,70%</w:t>
            </w:r>
          </w:p>
        </w:tc>
        <w:tc>
          <w:tcPr>
            <w:tcW w:w="851" w:type="dxa"/>
            <w:noWrap/>
            <w:vAlign w:val="center"/>
            <w:hideMark/>
          </w:tcPr>
          <w:p w14:paraId="4CAC0480"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 </w:t>
            </w:r>
          </w:p>
        </w:tc>
        <w:tc>
          <w:tcPr>
            <w:tcW w:w="850" w:type="dxa"/>
            <w:noWrap/>
            <w:vAlign w:val="center"/>
            <w:hideMark/>
          </w:tcPr>
          <w:p w14:paraId="7E357704"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 </w:t>
            </w:r>
          </w:p>
        </w:tc>
        <w:tc>
          <w:tcPr>
            <w:tcW w:w="992" w:type="dxa"/>
            <w:noWrap/>
            <w:vAlign w:val="center"/>
            <w:hideMark/>
          </w:tcPr>
          <w:p w14:paraId="6423D075"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 </w:t>
            </w:r>
          </w:p>
        </w:tc>
        <w:tc>
          <w:tcPr>
            <w:tcW w:w="851" w:type="dxa"/>
            <w:noWrap/>
            <w:vAlign w:val="center"/>
            <w:hideMark/>
          </w:tcPr>
          <w:p w14:paraId="4D010A05"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18"/>
                <w:szCs w:val="18"/>
                <w:lang w:eastAsia="lv-LV"/>
              </w:rPr>
            </w:pPr>
            <w:r w:rsidRPr="00F05D16">
              <w:rPr>
                <w:rFonts w:ascii="Times New Roman" w:eastAsia="Times New Roman" w:hAnsi="Times New Roman" w:cs="Times New Roman"/>
                <w:b/>
                <w:bCs/>
                <w:color w:val="auto"/>
                <w:sz w:val="18"/>
                <w:szCs w:val="18"/>
                <w:lang w:eastAsia="lv-LV"/>
              </w:rPr>
              <w:t> </w:t>
            </w:r>
          </w:p>
        </w:tc>
      </w:tr>
      <w:tr w:rsidR="00F05D16" w:rsidRPr="00F05D16" w14:paraId="56244253" w14:textId="77777777" w:rsidTr="00F05D16">
        <w:trPr>
          <w:trHeight w:val="390"/>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2510816B" w14:textId="274C7FB4" w:rsidR="0009609E" w:rsidRPr="00F05D16" w:rsidRDefault="004C6CC5"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M</w:t>
            </w:r>
            <w:r w:rsidR="0009609E" w:rsidRPr="00F05D16">
              <w:rPr>
                <w:rFonts w:ascii="Times New Roman" w:eastAsia="Times New Roman" w:hAnsi="Times New Roman" w:cs="Times New Roman"/>
                <w:b w:val="0"/>
                <w:color w:val="auto"/>
                <w:sz w:val="18"/>
                <w:szCs w:val="18"/>
                <w:lang w:eastAsia="lv-LV"/>
              </w:rPr>
              <w:t>aksimālā strukturālā bilance</w:t>
            </w:r>
          </w:p>
        </w:tc>
        <w:tc>
          <w:tcPr>
            <w:tcW w:w="1245" w:type="dxa"/>
            <w:noWrap/>
            <w:hideMark/>
          </w:tcPr>
          <w:p w14:paraId="0541B766"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61" w:type="dxa"/>
            <w:shd w:val="clear" w:color="auto" w:fill="D9D9D9" w:themeFill="background1" w:themeFillShade="D9"/>
            <w:noWrap/>
            <w:vAlign w:val="center"/>
            <w:hideMark/>
          </w:tcPr>
          <w:p w14:paraId="45256925"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-1,80%</w:t>
            </w:r>
          </w:p>
        </w:tc>
        <w:tc>
          <w:tcPr>
            <w:tcW w:w="993" w:type="dxa"/>
            <w:shd w:val="clear" w:color="auto" w:fill="D9D9D9" w:themeFill="background1" w:themeFillShade="D9"/>
            <w:noWrap/>
            <w:vAlign w:val="center"/>
            <w:hideMark/>
          </w:tcPr>
          <w:p w14:paraId="473F86E9"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-1,80%</w:t>
            </w:r>
          </w:p>
        </w:tc>
        <w:tc>
          <w:tcPr>
            <w:tcW w:w="850" w:type="dxa"/>
            <w:shd w:val="clear" w:color="auto" w:fill="D9D9D9" w:themeFill="background1" w:themeFillShade="D9"/>
            <w:noWrap/>
            <w:vAlign w:val="center"/>
            <w:hideMark/>
          </w:tcPr>
          <w:p w14:paraId="6B2763A5"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-1,80%</w:t>
            </w:r>
          </w:p>
        </w:tc>
        <w:tc>
          <w:tcPr>
            <w:tcW w:w="851" w:type="dxa"/>
            <w:shd w:val="clear" w:color="auto" w:fill="D9D9D9" w:themeFill="background1" w:themeFillShade="D9"/>
            <w:noWrap/>
            <w:vAlign w:val="center"/>
            <w:hideMark/>
          </w:tcPr>
          <w:p w14:paraId="6126AA53"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-1,80%</w:t>
            </w:r>
          </w:p>
        </w:tc>
        <w:tc>
          <w:tcPr>
            <w:tcW w:w="850" w:type="dxa"/>
            <w:shd w:val="clear" w:color="auto" w:fill="D9D9D9" w:themeFill="background1" w:themeFillShade="D9"/>
            <w:noWrap/>
            <w:vAlign w:val="center"/>
            <w:hideMark/>
          </w:tcPr>
          <w:p w14:paraId="236115E2"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-1,40%</w:t>
            </w:r>
          </w:p>
        </w:tc>
        <w:tc>
          <w:tcPr>
            <w:tcW w:w="992" w:type="dxa"/>
            <w:shd w:val="clear" w:color="auto" w:fill="D9D9D9" w:themeFill="background1" w:themeFillShade="D9"/>
            <w:noWrap/>
            <w:vAlign w:val="center"/>
            <w:hideMark/>
          </w:tcPr>
          <w:p w14:paraId="5E914FDF"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-1,40%</w:t>
            </w:r>
          </w:p>
        </w:tc>
        <w:tc>
          <w:tcPr>
            <w:tcW w:w="851" w:type="dxa"/>
            <w:shd w:val="clear" w:color="auto" w:fill="D9D9D9" w:themeFill="background1" w:themeFillShade="D9"/>
            <w:noWrap/>
            <w:vAlign w:val="center"/>
            <w:hideMark/>
          </w:tcPr>
          <w:p w14:paraId="07B216E0"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-1,40%</w:t>
            </w:r>
          </w:p>
        </w:tc>
      </w:tr>
      <w:tr w:rsidR="00F05D16" w:rsidRPr="00F05D16" w14:paraId="12003536" w14:textId="77777777" w:rsidTr="00F05D16">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481157C6" w14:textId="697A556E" w:rsidR="0009609E" w:rsidRPr="00F05D16" w:rsidRDefault="004C6CC5"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C</w:t>
            </w:r>
            <w:r w:rsidR="0009609E" w:rsidRPr="00F05D16">
              <w:rPr>
                <w:rFonts w:ascii="Times New Roman" w:eastAsia="Times New Roman" w:hAnsi="Times New Roman" w:cs="Times New Roman"/>
                <w:b w:val="0"/>
                <w:color w:val="auto"/>
                <w:sz w:val="18"/>
                <w:szCs w:val="18"/>
                <w:lang w:eastAsia="lv-LV"/>
              </w:rPr>
              <w:t>ik</w:t>
            </w:r>
            <w:r w:rsidR="00C10259" w:rsidRPr="00F05D16">
              <w:rPr>
                <w:rFonts w:ascii="Times New Roman" w:eastAsia="Times New Roman" w:hAnsi="Times New Roman" w:cs="Times New Roman"/>
                <w:b w:val="0"/>
                <w:color w:val="auto"/>
                <w:sz w:val="18"/>
                <w:szCs w:val="18"/>
                <w:lang w:eastAsia="lv-LV"/>
              </w:rPr>
              <w:t>l</w:t>
            </w:r>
            <w:r w:rsidR="0009609E" w:rsidRPr="00F05D16">
              <w:rPr>
                <w:rFonts w:ascii="Times New Roman" w:eastAsia="Times New Roman" w:hAnsi="Times New Roman" w:cs="Times New Roman"/>
                <w:b w:val="0"/>
                <w:color w:val="auto"/>
                <w:sz w:val="18"/>
                <w:szCs w:val="18"/>
                <w:lang w:eastAsia="lv-LV"/>
              </w:rPr>
              <w:t>iskā komponente</w:t>
            </w:r>
          </w:p>
        </w:tc>
        <w:tc>
          <w:tcPr>
            <w:tcW w:w="1245" w:type="dxa"/>
            <w:noWrap/>
            <w:hideMark/>
          </w:tcPr>
          <w:p w14:paraId="5C6116CD" w14:textId="77777777" w:rsidR="0009609E" w:rsidRPr="00F05D16"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61" w:type="dxa"/>
            <w:noWrap/>
            <w:vAlign w:val="center"/>
            <w:hideMark/>
          </w:tcPr>
          <w:p w14:paraId="13B4A871"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0,30%</w:t>
            </w:r>
          </w:p>
        </w:tc>
        <w:tc>
          <w:tcPr>
            <w:tcW w:w="993" w:type="dxa"/>
            <w:noWrap/>
            <w:vAlign w:val="center"/>
            <w:hideMark/>
          </w:tcPr>
          <w:p w14:paraId="14AEB518"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0,20%</w:t>
            </w:r>
          </w:p>
        </w:tc>
        <w:tc>
          <w:tcPr>
            <w:tcW w:w="850" w:type="dxa"/>
            <w:noWrap/>
            <w:vAlign w:val="center"/>
            <w:hideMark/>
          </w:tcPr>
          <w:p w14:paraId="0D661C7C"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0,00%</w:t>
            </w:r>
          </w:p>
        </w:tc>
        <w:tc>
          <w:tcPr>
            <w:tcW w:w="851" w:type="dxa"/>
            <w:noWrap/>
            <w:vAlign w:val="center"/>
            <w:hideMark/>
          </w:tcPr>
          <w:p w14:paraId="215F6E75"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-0,10%</w:t>
            </w:r>
          </w:p>
        </w:tc>
        <w:tc>
          <w:tcPr>
            <w:tcW w:w="850" w:type="dxa"/>
            <w:noWrap/>
            <w:vAlign w:val="center"/>
            <w:hideMark/>
          </w:tcPr>
          <w:p w14:paraId="651D34D3"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0,00%</w:t>
            </w:r>
          </w:p>
        </w:tc>
        <w:tc>
          <w:tcPr>
            <w:tcW w:w="992" w:type="dxa"/>
            <w:noWrap/>
            <w:vAlign w:val="center"/>
            <w:hideMark/>
          </w:tcPr>
          <w:p w14:paraId="2C8076F1"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0,00%</w:t>
            </w:r>
          </w:p>
        </w:tc>
        <w:tc>
          <w:tcPr>
            <w:tcW w:w="851" w:type="dxa"/>
            <w:noWrap/>
            <w:vAlign w:val="center"/>
            <w:hideMark/>
          </w:tcPr>
          <w:p w14:paraId="575FD1CB"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r>
      <w:tr w:rsidR="00F05D16" w:rsidRPr="00F05D16" w14:paraId="14754EE4" w14:textId="77777777" w:rsidTr="00F05D16">
        <w:trPr>
          <w:trHeight w:val="272"/>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2D0611A4" w14:textId="2B5455D6" w:rsidR="0009609E" w:rsidRPr="00F05D16" w:rsidRDefault="004C6CC5"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C</w:t>
            </w:r>
            <w:r w:rsidR="0009609E" w:rsidRPr="00F05D16">
              <w:rPr>
                <w:rFonts w:ascii="Times New Roman" w:eastAsia="Times New Roman" w:hAnsi="Times New Roman" w:cs="Times New Roman"/>
                <w:b w:val="0"/>
                <w:color w:val="auto"/>
                <w:sz w:val="18"/>
                <w:szCs w:val="18"/>
                <w:lang w:eastAsia="lv-LV"/>
              </w:rPr>
              <w:t>ikliski koriģētais</w:t>
            </w:r>
          </w:p>
        </w:tc>
        <w:tc>
          <w:tcPr>
            <w:tcW w:w="1245" w:type="dxa"/>
            <w:noWrap/>
            <w:hideMark/>
          </w:tcPr>
          <w:p w14:paraId="5CDF7CD2"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61" w:type="dxa"/>
            <w:shd w:val="clear" w:color="auto" w:fill="D9D9D9" w:themeFill="background1" w:themeFillShade="D9"/>
            <w:noWrap/>
            <w:vAlign w:val="center"/>
            <w:hideMark/>
          </w:tcPr>
          <w:p w14:paraId="04C45FA1"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-0,90%</w:t>
            </w:r>
          </w:p>
        </w:tc>
        <w:tc>
          <w:tcPr>
            <w:tcW w:w="993" w:type="dxa"/>
            <w:shd w:val="clear" w:color="auto" w:fill="D9D9D9" w:themeFill="background1" w:themeFillShade="D9"/>
            <w:noWrap/>
            <w:vAlign w:val="center"/>
            <w:hideMark/>
          </w:tcPr>
          <w:p w14:paraId="7C956712"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-1,20%</w:t>
            </w:r>
          </w:p>
        </w:tc>
        <w:tc>
          <w:tcPr>
            <w:tcW w:w="850" w:type="dxa"/>
            <w:shd w:val="clear" w:color="auto" w:fill="D9D9D9" w:themeFill="background1" w:themeFillShade="D9"/>
            <w:noWrap/>
            <w:vAlign w:val="center"/>
            <w:hideMark/>
          </w:tcPr>
          <w:p w14:paraId="0AA0179A"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-1,40%</w:t>
            </w:r>
          </w:p>
        </w:tc>
        <w:tc>
          <w:tcPr>
            <w:tcW w:w="851" w:type="dxa"/>
            <w:shd w:val="clear" w:color="auto" w:fill="D9D9D9" w:themeFill="background1" w:themeFillShade="D9"/>
            <w:noWrap/>
            <w:vAlign w:val="center"/>
            <w:hideMark/>
          </w:tcPr>
          <w:p w14:paraId="3AB61E60"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-1,66%</w:t>
            </w:r>
          </w:p>
        </w:tc>
        <w:tc>
          <w:tcPr>
            <w:tcW w:w="850" w:type="dxa"/>
            <w:shd w:val="clear" w:color="auto" w:fill="D9D9D9" w:themeFill="background1" w:themeFillShade="D9"/>
            <w:noWrap/>
            <w:vAlign w:val="center"/>
            <w:hideMark/>
          </w:tcPr>
          <w:p w14:paraId="77B821E3"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-1,40%</w:t>
            </w:r>
          </w:p>
        </w:tc>
        <w:tc>
          <w:tcPr>
            <w:tcW w:w="992" w:type="dxa"/>
            <w:shd w:val="clear" w:color="auto" w:fill="D9D9D9" w:themeFill="background1" w:themeFillShade="D9"/>
            <w:noWrap/>
            <w:vAlign w:val="center"/>
            <w:hideMark/>
          </w:tcPr>
          <w:p w14:paraId="6DF8F993"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-1,29%</w:t>
            </w:r>
          </w:p>
        </w:tc>
        <w:tc>
          <w:tcPr>
            <w:tcW w:w="851" w:type="dxa"/>
            <w:shd w:val="clear" w:color="auto" w:fill="D9D9D9" w:themeFill="background1" w:themeFillShade="D9"/>
            <w:noWrap/>
            <w:vAlign w:val="center"/>
            <w:hideMark/>
          </w:tcPr>
          <w:p w14:paraId="038B5CD7"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-1,00%</w:t>
            </w:r>
          </w:p>
        </w:tc>
      </w:tr>
      <w:tr w:rsidR="00F05D16" w:rsidRPr="00F05D16" w14:paraId="23090875" w14:textId="77777777" w:rsidTr="00F05D16">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73604FCD" w14:textId="3FA19861" w:rsidR="0009609E" w:rsidRPr="00F05D16" w:rsidRDefault="004C6CC5" w:rsidP="0057255A">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 xml:space="preserve">Vienreizējie </w:t>
            </w:r>
            <w:r w:rsidR="0057255A" w:rsidRPr="00F05D16">
              <w:rPr>
                <w:rFonts w:ascii="Times New Roman" w:eastAsia="Times New Roman" w:hAnsi="Times New Roman" w:cs="Times New Roman"/>
                <w:b w:val="0"/>
                <w:color w:val="auto"/>
                <w:sz w:val="18"/>
                <w:szCs w:val="18"/>
                <w:lang w:eastAsia="lv-LV"/>
              </w:rPr>
              <w:t>izdevumi</w:t>
            </w:r>
          </w:p>
        </w:tc>
        <w:tc>
          <w:tcPr>
            <w:tcW w:w="1245" w:type="dxa"/>
            <w:noWrap/>
            <w:hideMark/>
          </w:tcPr>
          <w:p w14:paraId="50E2568B" w14:textId="77777777" w:rsidR="0009609E" w:rsidRPr="00F05D16"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61" w:type="dxa"/>
            <w:noWrap/>
            <w:vAlign w:val="center"/>
            <w:hideMark/>
          </w:tcPr>
          <w:p w14:paraId="161F0211"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993" w:type="dxa"/>
            <w:shd w:val="clear" w:color="auto" w:fill="FFC000"/>
            <w:noWrap/>
            <w:vAlign w:val="center"/>
            <w:hideMark/>
          </w:tcPr>
          <w:p w14:paraId="3E9F0B69"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-0,30%</w:t>
            </w:r>
          </w:p>
        </w:tc>
        <w:tc>
          <w:tcPr>
            <w:tcW w:w="850" w:type="dxa"/>
            <w:noWrap/>
            <w:vAlign w:val="center"/>
            <w:hideMark/>
          </w:tcPr>
          <w:p w14:paraId="76858EB0"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51" w:type="dxa"/>
            <w:noWrap/>
            <w:vAlign w:val="center"/>
            <w:hideMark/>
          </w:tcPr>
          <w:p w14:paraId="7CBFE414"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-0,30%</w:t>
            </w:r>
          </w:p>
        </w:tc>
        <w:tc>
          <w:tcPr>
            <w:tcW w:w="850" w:type="dxa"/>
            <w:noWrap/>
            <w:vAlign w:val="center"/>
            <w:hideMark/>
          </w:tcPr>
          <w:p w14:paraId="689DD411"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-0,40%</w:t>
            </w:r>
          </w:p>
        </w:tc>
        <w:tc>
          <w:tcPr>
            <w:tcW w:w="992" w:type="dxa"/>
            <w:noWrap/>
            <w:vAlign w:val="center"/>
            <w:hideMark/>
          </w:tcPr>
          <w:p w14:paraId="09DD734F"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-0,50%</w:t>
            </w:r>
          </w:p>
        </w:tc>
        <w:tc>
          <w:tcPr>
            <w:tcW w:w="851" w:type="dxa"/>
            <w:noWrap/>
            <w:vAlign w:val="center"/>
            <w:hideMark/>
          </w:tcPr>
          <w:p w14:paraId="0F9D5D18" w14:textId="77777777" w:rsidR="0009609E" w:rsidRPr="00F05D16" w:rsidRDefault="0009609E" w:rsidP="00F05D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-0,25%</w:t>
            </w:r>
          </w:p>
        </w:tc>
      </w:tr>
      <w:tr w:rsidR="00F05D16" w:rsidRPr="00F05D16" w14:paraId="295EA781" w14:textId="77777777" w:rsidTr="00F05D16">
        <w:trPr>
          <w:trHeight w:val="180"/>
          <w:jc w:val="center"/>
        </w:trPr>
        <w:tc>
          <w:tcPr>
            <w:cnfStyle w:val="001000000000" w:firstRow="0" w:lastRow="0" w:firstColumn="1" w:lastColumn="0" w:oddVBand="0" w:evenVBand="0" w:oddHBand="0" w:evenHBand="0" w:firstRowFirstColumn="0" w:firstRowLastColumn="0" w:lastRowFirstColumn="0" w:lastRowLastColumn="0"/>
            <w:tcW w:w="1848" w:type="dxa"/>
            <w:noWrap/>
            <w:hideMark/>
          </w:tcPr>
          <w:p w14:paraId="2C9646D3" w14:textId="50899164" w:rsidR="0009609E" w:rsidRPr="00F05D16" w:rsidRDefault="004C6CC5" w:rsidP="0009609E">
            <w:pPr>
              <w:rPr>
                <w:rFonts w:ascii="Times New Roman" w:eastAsia="Times New Roman" w:hAnsi="Times New Roman" w:cs="Times New Roman"/>
                <w:b w:val="0"/>
                <w:color w:val="auto"/>
                <w:sz w:val="18"/>
                <w:szCs w:val="18"/>
                <w:lang w:eastAsia="lv-LV"/>
              </w:rPr>
            </w:pPr>
            <w:r w:rsidRPr="00F05D16">
              <w:rPr>
                <w:rFonts w:ascii="Times New Roman" w:eastAsia="Times New Roman" w:hAnsi="Times New Roman" w:cs="Times New Roman"/>
                <w:b w:val="0"/>
                <w:color w:val="auto"/>
                <w:sz w:val="18"/>
                <w:szCs w:val="18"/>
                <w:lang w:eastAsia="lv-LV"/>
              </w:rPr>
              <w:t>Faktiskā bilance</w:t>
            </w:r>
          </w:p>
        </w:tc>
        <w:tc>
          <w:tcPr>
            <w:tcW w:w="1245" w:type="dxa"/>
            <w:noWrap/>
            <w:hideMark/>
          </w:tcPr>
          <w:p w14:paraId="1C27C9B9" w14:textId="77777777" w:rsidR="0009609E" w:rsidRPr="00F05D16"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 </w:t>
            </w:r>
          </w:p>
        </w:tc>
        <w:tc>
          <w:tcPr>
            <w:tcW w:w="861" w:type="dxa"/>
            <w:shd w:val="clear" w:color="auto" w:fill="FFC000"/>
            <w:noWrap/>
            <w:vAlign w:val="center"/>
            <w:hideMark/>
          </w:tcPr>
          <w:p w14:paraId="3D72731B"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-0,90%</w:t>
            </w:r>
          </w:p>
        </w:tc>
        <w:tc>
          <w:tcPr>
            <w:tcW w:w="993" w:type="dxa"/>
            <w:shd w:val="clear" w:color="auto" w:fill="FFC000"/>
            <w:noWrap/>
            <w:vAlign w:val="center"/>
            <w:hideMark/>
          </w:tcPr>
          <w:p w14:paraId="6AB6B5C9"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-1,50%</w:t>
            </w:r>
          </w:p>
        </w:tc>
        <w:tc>
          <w:tcPr>
            <w:tcW w:w="850" w:type="dxa"/>
            <w:shd w:val="clear" w:color="auto" w:fill="FFC000"/>
            <w:noWrap/>
            <w:vAlign w:val="center"/>
            <w:hideMark/>
          </w:tcPr>
          <w:p w14:paraId="7E68DE32"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-1,40%</w:t>
            </w:r>
          </w:p>
        </w:tc>
        <w:tc>
          <w:tcPr>
            <w:tcW w:w="851" w:type="dxa"/>
            <w:shd w:val="clear" w:color="auto" w:fill="D9D9D9" w:themeFill="background1" w:themeFillShade="D9"/>
            <w:noWrap/>
            <w:vAlign w:val="center"/>
            <w:hideMark/>
          </w:tcPr>
          <w:p w14:paraId="18211FE0"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-1,96%</w:t>
            </w:r>
          </w:p>
        </w:tc>
        <w:tc>
          <w:tcPr>
            <w:tcW w:w="850" w:type="dxa"/>
            <w:shd w:val="clear" w:color="auto" w:fill="D9D9D9" w:themeFill="background1" w:themeFillShade="D9"/>
            <w:noWrap/>
            <w:vAlign w:val="center"/>
            <w:hideMark/>
          </w:tcPr>
          <w:p w14:paraId="49D083A8"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-1,80%</w:t>
            </w:r>
          </w:p>
        </w:tc>
        <w:tc>
          <w:tcPr>
            <w:tcW w:w="992" w:type="dxa"/>
            <w:shd w:val="clear" w:color="auto" w:fill="D9D9D9" w:themeFill="background1" w:themeFillShade="D9"/>
            <w:noWrap/>
            <w:vAlign w:val="center"/>
            <w:hideMark/>
          </w:tcPr>
          <w:p w14:paraId="5F578F1C"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-1,79%</w:t>
            </w:r>
          </w:p>
        </w:tc>
        <w:tc>
          <w:tcPr>
            <w:tcW w:w="851" w:type="dxa"/>
            <w:shd w:val="clear" w:color="auto" w:fill="D9D9D9" w:themeFill="background1" w:themeFillShade="D9"/>
            <w:noWrap/>
            <w:vAlign w:val="center"/>
            <w:hideMark/>
          </w:tcPr>
          <w:p w14:paraId="3D19FF29" w14:textId="77777777" w:rsidR="0009609E" w:rsidRPr="00F05D16" w:rsidRDefault="0009609E" w:rsidP="00F05D1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lv-LV"/>
              </w:rPr>
            </w:pPr>
            <w:r w:rsidRPr="00F05D16">
              <w:rPr>
                <w:rFonts w:ascii="Times New Roman" w:eastAsia="Times New Roman" w:hAnsi="Times New Roman" w:cs="Times New Roman"/>
                <w:color w:val="auto"/>
                <w:sz w:val="18"/>
                <w:szCs w:val="18"/>
                <w:lang w:eastAsia="lv-LV"/>
              </w:rPr>
              <w:t>-1,25%</w:t>
            </w:r>
          </w:p>
        </w:tc>
      </w:tr>
    </w:tbl>
    <w:p w14:paraId="71BFA686" w14:textId="04A924D6" w:rsidR="004C7E0F" w:rsidRPr="0009609E" w:rsidRDefault="004C7E0F" w:rsidP="004C7E0F">
      <w:pPr>
        <w:spacing w:before="120"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lastRenderedPageBreak/>
        <w:t xml:space="preserve">Atkāpju modelis, kas izriet no iemaksu palielināšanas </w:t>
      </w:r>
      <w:r w:rsidR="00612F17">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pensiju līmenī, ir tāds pats, kā</w:t>
      </w:r>
      <w:r w:rsidRPr="0009609E">
        <w:rPr>
          <w:rFonts w:ascii="Times New Roman" w:eastAsia="Calibri" w:hAnsi="Times New Roman" w:cs="Times New Roman"/>
          <w:color w:val="000000"/>
          <w:sz w:val="24"/>
          <w:szCs w:val="24"/>
        </w:rPr>
        <w:t xml:space="preserve"> veicot strukturālās bilances mērķa noteikšanu atbilstoši SIP metodoloģijai. Sākotnējais strukturālās bilances mērķis (starprezultāts), summējot VTM ar pieļaujamo atkāpju apmēru, ir -1,06% no IKP 2016. un 2017.gadā un -0,79% no IKP 2018.gadā. </w:t>
      </w:r>
    </w:p>
    <w:p w14:paraId="60644FB3" w14:textId="04CE2BFB"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Tālāk tiek pārbaudīts vai iegūtais starprezultāts nodrošina pietiekamu drošības rezervi attiecībā pret deficīta atsauces vērtību, kas tiek noteikta tāpat kā SIP metodoloģijā -</w:t>
      </w:r>
      <w:r>
        <w:rPr>
          <w:rFonts w:ascii="Times New Roman" w:eastAsia="Calibri" w:hAnsi="Times New Roman" w:cs="Times New Roman"/>
          <w:color w:val="000000"/>
          <w:sz w:val="24"/>
          <w:szCs w:val="24"/>
        </w:rPr>
        <w:t xml:space="preserve"> 2016.gadā 1,8% no IKP, bet</w:t>
      </w:r>
      <w:r w:rsidR="00612F17">
        <w:rPr>
          <w:rFonts w:ascii="Times New Roman" w:eastAsia="Calibri" w:hAnsi="Times New Roman" w:cs="Times New Roman"/>
          <w:color w:val="000000"/>
          <w:sz w:val="24"/>
          <w:szCs w:val="24"/>
        </w:rPr>
        <w:t xml:space="preserve"> 2017. un 2018.</w:t>
      </w:r>
      <w:r w:rsidRPr="0009609E">
        <w:rPr>
          <w:rFonts w:ascii="Times New Roman" w:eastAsia="Calibri" w:hAnsi="Times New Roman" w:cs="Times New Roman"/>
          <w:color w:val="000000"/>
          <w:sz w:val="24"/>
          <w:szCs w:val="24"/>
        </w:rPr>
        <w:t>gadā 1,4%</w:t>
      </w:r>
      <w:r>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w:t>
      </w:r>
    </w:p>
    <w:p w14:paraId="03526AF6" w14:textId="616BFCF1"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Veicot pārbaudi tiek secināts, ka līdz deficīta atsauces vērtībai tiek saglabāts attālums 0,74% no IKP 2016. gadā, 0,34% no IKP 2017. gadā un 0,61% no IKP 2018.gadā. Iegūtās starpības varētu tikt izmantotas kā papildu atkāpes no VTM, pamatojot tās ar </w:t>
      </w:r>
      <w:r w:rsidR="00904AE5">
        <w:rPr>
          <w:rFonts w:ascii="Times New Roman" w:eastAsia="Calibri" w:hAnsi="Times New Roman" w:cs="Times New Roman"/>
          <w:color w:val="000000"/>
          <w:sz w:val="24"/>
          <w:szCs w:val="24"/>
        </w:rPr>
        <w:t>īstenojamajām</w:t>
      </w:r>
      <w:r w:rsidRPr="0009609E">
        <w:rPr>
          <w:rFonts w:ascii="Times New Roman" w:eastAsia="Calibri" w:hAnsi="Times New Roman" w:cs="Times New Roman"/>
          <w:color w:val="000000"/>
          <w:sz w:val="24"/>
          <w:szCs w:val="24"/>
        </w:rPr>
        <w:t xml:space="preserve"> reformām veselības nozarē (reformas izvērstu aprakstu </w:t>
      </w:r>
      <w:r w:rsidRPr="004C6CC5">
        <w:rPr>
          <w:rFonts w:ascii="Times New Roman" w:eastAsia="Calibri" w:hAnsi="Times New Roman" w:cs="Times New Roman"/>
          <w:color w:val="000000"/>
          <w:sz w:val="24"/>
          <w:szCs w:val="24"/>
        </w:rPr>
        <w:t>lūdzu skatīt sadaļā “</w:t>
      </w:r>
      <w:r w:rsidRPr="004C6CC5">
        <w:rPr>
          <w:rFonts w:ascii="Times New Roman" w:eastAsia="Times New Roman" w:hAnsi="Times New Roman" w:cs="Times New Roman"/>
          <w:color w:val="000000"/>
          <w:sz w:val="24"/>
          <w:szCs w:val="24"/>
        </w:rPr>
        <w:t xml:space="preserve">Fiskāli nozīmīgākās strukturālās reformas </w:t>
      </w:r>
      <w:r w:rsidRPr="004C6CC5">
        <w:rPr>
          <w:rFonts w:ascii="Times New Roman" w:eastAsia="Calibri" w:hAnsi="Times New Roman" w:cs="Times New Roman"/>
          <w:color w:val="000000"/>
          <w:sz w:val="24"/>
          <w:szCs w:val="24"/>
        </w:rPr>
        <w:t xml:space="preserve">Regulas Nr. 1175/2011 izpratnē”), atbilstoši </w:t>
      </w:r>
      <w:r>
        <w:rPr>
          <w:rFonts w:ascii="Times New Roman" w:eastAsia="Calibri" w:hAnsi="Times New Roman" w:cs="Times New Roman"/>
          <w:color w:val="000000"/>
          <w:sz w:val="24"/>
          <w:szCs w:val="24"/>
        </w:rPr>
        <w:t>EK</w:t>
      </w:r>
      <w:r w:rsidRPr="004C6CC5">
        <w:rPr>
          <w:rFonts w:ascii="Times New Roman" w:eastAsia="Calibri" w:hAnsi="Times New Roman" w:cs="Times New Roman"/>
          <w:color w:val="000000"/>
          <w:sz w:val="24"/>
          <w:szCs w:val="24"/>
        </w:rPr>
        <w:t xml:space="preserve"> komunikācijai par esošā SIP regulējuma elastības labāku piemērošanu</w:t>
      </w:r>
      <w:r w:rsidRPr="0009609E">
        <w:rPr>
          <w:rFonts w:ascii="Times New Roman" w:eastAsia="Calibri" w:hAnsi="Times New Roman" w:cs="Times New Roman"/>
          <w:color w:val="000000"/>
          <w:sz w:val="24"/>
          <w:szCs w:val="24"/>
        </w:rPr>
        <w:t xml:space="preserve"> attiecībā uz strukturālajām reformām. Tomēr saskaņā ar EK komunikāciju, atkāpes strukturālajā reformām nedrīkst pārsniegt 0,5%. Līdz ar to 2016.gadā maksimālā atkāpe strukturālajām reformām ir 0,5%, 2017.gadā 0,34% un 2018.gadā 0,5%.</w:t>
      </w:r>
    </w:p>
    <w:p w14:paraId="0BDE062F" w14:textId="735AF0B5"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Līdz ar to strukturālās bilances apmērs pēc nacionālās meto</w:t>
      </w:r>
      <w:r w:rsidR="00612F17">
        <w:rPr>
          <w:rFonts w:ascii="Times New Roman" w:eastAsia="Calibri" w:hAnsi="Times New Roman" w:cs="Times New Roman"/>
          <w:color w:val="000000"/>
          <w:sz w:val="24"/>
          <w:szCs w:val="24"/>
        </w:rPr>
        <w:t>doloģijas ir 2016., 2017. un 2018.gadā attiecīgi ir -1,56%,</w:t>
      </w:r>
      <w:r w:rsidRPr="0009609E">
        <w:rPr>
          <w:rFonts w:ascii="Times New Roman" w:eastAsia="Calibri" w:hAnsi="Times New Roman" w:cs="Times New Roman"/>
          <w:color w:val="000000"/>
          <w:sz w:val="24"/>
          <w:szCs w:val="24"/>
        </w:rPr>
        <w:t xml:space="preserve"> -1,40% un -1,29%.  </w:t>
      </w:r>
    </w:p>
    <w:p w14:paraId="5F9FEFFF" w14:textId="2F5A855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Pēc tam, kad ir noskaidrots strukturālās bilances apmērs, kas izmantojams turpmākajos aprēķinos, tiek aprēķināts nominālās bilances apmērs. Aprēķinos tiek pielietota </w:t>
      </w:r>
      <w:r w:rsidR="00612F17">
        <w:rPr>
          <w:rFonts w:ascii="Times New Roman" w:eastAsia="Calibri" w:hAnsi="Times New Roman" w:cs="Times New Roman"/>
          <w:color w:val="000000"/>
          <w:sz w:val="24"/>
          <w:szCs w:val="24"/>
        </w:rPr>
        <w:t>FM</w:t>
      </w:r>
      <w:r w:rsidRPr="0009609E">
        <w:rPr>
          <w:rFonts w:ascii="Times New Roman" w:eastAsia="Calibri" w:hAnsi="Times New Roman" w:cs="Times New Roman"/>
          <w:color w:val="000000"/>
          <w:sz w:val="24"/>
          <w:szCs w:val="24"/>
        </w:rPr>
        <w:t xml:space="preserve"> aprēķinātā cikliskā komponente, kā arī ņemti vērā vienreizējie pasākumi</w:t>
      </w:r>
      <w:r>
        <w:rPr>
          <w:rFonts w:ascii="Times New Roman" w:eastAsia="Calibri" w:hAnsi="Times New Roman" w:cs="Times New Roman"/>
          <w:color w:val="000000"/>
          <w:sz w:val="24"/>
          <w:szCs w:val="24"/>
        </w:rPr>
        <w:t xml:space="preserve"> aizsardzības nozarei</w:t>
      </w:r>
      <w:r w:rsidRPr="0009609E">
        <w:rPr>
          <w:rFonts w:ascii="Times New Roman" w:eastAsia="Calibri" w:hAnsi="Times New Roman" w:cs="Times New Roman"/>
          <w:color w:val="000000"/>
          <w:sz w:val="24"/>
          <w:szCs w:val="24"/>
        </w:rPr>
        <w:t>. Tādējādi tiek iegūta nominālā bilance, kas 2016.gadā ir -1,96% no IKP, 2017. gadā – 1,80% no IKP un 2018.gadā – 1,79% no IKP.</w:t>
      </w:r>
    </w:p>
    <w:p w14:paraId="15C6FFF1" w14:textId="77777777" w:rsidR="004C7E0F" w:rsidRPr="00CC6037" w:rsidRDefault="004C7E0F" w:rsidP="004C7E0F">
      <w:pPr>
        <w:spacing w:before="320" w:after="120" w:line="240" w:lineRule="auto"/>
        <w:ind w:firstLine="720"/>
        <w:jc w:val="both"/>
        <w:rPr>
          <w:rFonts w:ascii="Times New Roman" w:eastAsia="Calibri" w:hAnsi="Times New Roman" w:cs="Times New Roman"/>
          <w:b/>
          <w:color w:val="000000"/>
          <w:sz w:val="24"/>
          <w:szCs w:val="24"/>
        </w:rPr>
      </w:pPr>
      <w:r w:rsidRPr="00CC6037">
        <w:rPr>
          <w:rFonts w:ascii="Times New Roman" w:eastAsia="Calibri" w:hAnsi="Times New Roman" w:cs="Times New Roman"/>
          <w:b/>
          <w:color w:val="000000"/>
          <w:sz w:val="24"/>
          <w:szCs w:val="24"/>
        </w:rPr>
        <w:t>Strukturālo mērķu izvēle</w:t>
      </w:r>
    </w:p>
    <w:p w14:paraId="0E5583D7" w14:textId="07868D16"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Kad pēc abām metodēm ir noteikti strukturālās bilances mērķi un aprēķināta nominālā bilance, iegūtie rezultāti nominālā izteiksmē tiek salīdzināti un tiek izvēlēta lielākā nominālās bilances vērtība, ar mērķi nodrošināt fiskālo nosacījumu atbilstību gan pēc nacionālās metodoloģijas, gan saskaņā ar SIP izpratni. Pēc tam kad ir noteikta lielākā nominālās bilances vērtība, tiek veikta pāreja uz bilanci strukturālā izteiksmē (izmantojot ciklisko komponenti atbilstoši </w:t>
      </w:r>
      <w:r w:rsidR="00612F17">
        <w:rPr>
          <w:rFonts w:ascii="Times New Roman" w:eastAsia="Calibri" w:hAnsi="Times New Roman" w:cs="Times New Roman"/>
          <w:color w:val="000000"/>
          <w:sz w:val="24"/>
          <w:szCs w:val="24"/>
        </w:rPr>
        <w:t>FM</w:t>
      </w:r>
      <w:r w:rsidRPr="0009609E">
        <w:rPr>
          <w:rFonts w:ascii="Times New Roman" w:eastAsia="Calibri" w:hAnsi="Times New Roman" w:cs="Times New Roman"/>
          <w:color w:val="000000"/>
          <w:sz w:val="24"/>
          <w:szCs w:val="24"/>
        </w:rPr>
        <w:t xml:space="preserve"> aprēķiniem). Attiecīgi tiek iegūti strukturālās bilances mērķi, kas </w:t>
      </w:r>
      <w:r w:rsidRPr="0009609E">
        <w:rPr>
          <w:rFonts w:ascii="Times New Roman" w:eastAsia="Calibri" w:hAnsi="Times New Roman" w:cs="Times New Roman"/>
          <w:b/>
          <w:color w:val="000000"/>
          <w:sz w:val="24"/>
          <w:szCs w:val="24"/>
        </w:rPr>
        <w:t>2016.gadā ir -1,0% no IKP, 2017.gadā -0,9% no IKP un 2018.gadā -1,2% no IKP.</w:t>
      </w:r>
      <w:r w:rsidRPr="0009609E">
        <w:rPr>
          <w:rFonts w:ascii="Times New Roman" w:eastAsia="Calibri" w:hAnsi="Times New Roman" w:cs="Times New Roman"/>
          <w:color w:val="000000"/>
          <w:sz w:val="24"/>
          <w:szCs w:val="24"/>
        </w:rPr>
        <w:t xml:space="preserve"> </w:t>
      </w:r>
    </w:p>
    <w:p w14:paraId="01AF86EE"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Jāatzīmē, ka visos trīs gados stingrāku nosacījumu nosaka SIP, nevis </w:t>
      </w:r>
      <w:r>
        <w:rPr>
          <w:rFonts w:ascii="Times New Roman" w:eastAsia="Calibri" w:hAnsi="Times New Roman" w:cs="Times New Roman"/>
          <w:color w:val="000000"/>
          <w:sz w:val="24"/>
          <w:szCs w:val="24"/>
        </w:rPr>
        <w:t>Fiskālās disciplīnas likums (</w:t>
      </w:r>
      <w:r w:rsidRPr="0009609E">
        <w:rPr>
          <w:rFonts w:ascii="Times New Roman" w:eastAsia="Calibri" w:hAnsi="Times New Roman" w:cs="Times New Roman"/>
          <w:color w:val="000000"/>
          <w:sz w:val="24"/>
          <w:szCs w:val="24"/>
        </w:rPr>
        <w:t>FDL</w:t>
      </w:r>
      <w:r>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Līdz ar to, var teikt, ka strukturālā bilances mērķis ir noteikts tā, lai pārrēķinot bilances ciklisko komponenti pēc EK vienotās metodoloģijas, strukturālā bilance atbilstu maksimāli pieļaujamam strukturālajam deficītam.</w:t>
      </w:r>
    </w:p>
    <w:p w14:paraId="7A58AFCF" w14:textId="123A4E64" w:rsidR="0009609E" w:rsidRPr="00CC6037" w:rsidRDefault="004C6CC5" w:rsidP="00C10259">
      <w:pPr>
        <w:spacing w:before="120" w:after="12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3.3.</w:t>
      </w:r>
      <w:r w:rsidR="00CC6037">
        <w:rPr>
          <w:rFonts w:ascii="Times New Roman" w:eastAsia="Calibri" w:hAnsi="Times New Roman" w:cs="Times New Roman"/>
          <w:b/>
          <w:color w:val="000000"/>
          <w:sz w:val="24"/>
          <w:szCs w:val="24"/>
        </w:rPr>
        <w:t>tabula</w:t>
      </w:r>
      <w:r>
        <w:rPr>
          <w:rFonts w:ascii="Times New Roman" w:eastAsia="Calibri" w:hAnsi="Times New Roman" w:cs="Times New Roman"/>
          <w:b/>
          <w:color w:val="000000"/>
          <w:sz w:val="24"/>
          <w:szCs w:val="24"/>
        </w:rPr>
        <w:t>.</w:t>
      </w:r>
      <w:r w:rsidR="00CC6037">
        <w:rPr>
          <w:rFonts w:ascii="Times New Roman" w:eastAsia="Calibri" w:hAnsi="Times New Roman" w:cs="Times New Roman"/>
          <w:b/>
          <w:color w:val="000000"/>
          <w:sz w:val="24"/>
          <w:szCs w:val="24"/>
        </w:rPr>
        <w:t xml:space="preserve"> Strukturālā mērķa izvēle</w:t>
      </w:r>
    </w:p>
    <w:tbl>
      <w:tblPr>
        <w:tblStyle w:val="GridTable6ColorfulAccent1"/>
        <w:tblW w:w="9033" w:type="dxa"/>
        <w:jc w:val="center"/>
        <w:tblLook w:val="04A0" w:firstRow="1" w:lastRow="0" w:firstColumn="1" w:lastColumn="0" w:noHBand="0" w:noVBand="1"/>
      </w:tblPr>
      <w:tblGrid>
        <w:gridCol w:w="3273"/>
        <w:gridCol w:w="960"/>
        <w:gridCol w:w="960"/>
        <w:gridCol w:w="960"/>
        <w:gridCol w:w="960"/>
        <w:gridCol w:w="960"/>
        <w:gridCol w:w="960"/>
      </w:tblGrid>
      <w:tr w:rsidR="00D811E2" w:rsidRPr="00D811E2" w14:paraId="180D3832" w14:textId="77777777" w:rsidTr="0003249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73" w:type="dxa"/>
            <w:noWrap/>
            <w:hideMark/>
          </w:tcPr>
          <w:p w14:paraId="375D8179" w14:textId="77777777" w:rsidR="0009609E" w:rsidRPr="00D811E2" w:rsidRDefault="0009609E" w:rsidP="0009609E">
            <w:pPr>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c>
          <w:tcPr>
            <w:tcW w:w="960" w:type="dxa"/>
            <w:noWrap/>
            <w:vAlign w:val="center"/>
            <w:hideMark/>
          </w:tcPr>
          <w:p w14:paraId="193CE0BE" w14:textId="77777777" w:rsidR="0009609E" w:rsidRPr="00D811E2" w:rsidRDefault="0009609E"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2013</w:t>
            </w:r>
          </w:p>
        </w:tc>
        <w:tc>
          <w:tcPr>
            <w:tcW w:w="960" w:type="dxa"/>
            <w:noWrap/>
            <w:vAlign w:val="center"/>
            <w:hideMark/>
          </w:tcPr>
          <w:p w14:paraId="4F868E12" w14:textId="77777777" w:rsidR="0009609E" w:rsidRPr="00D811E2" w:rsidRDefault="0009609E"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2014</w:t>
            </w:r>
          </w:p>
        </w:tc>
        <w:tc>
          <w:tcPr>
            <w:tcW w:w="960" w:type="dxa"/>
            <w:noWrap/>
            <w:vAlign w:val="center"/>
            <w:hideMark/>
          </w:tcPr>
          <w:p w14:paraId="78053974" w14:textId="77777777" w:rsidR="0009609E" w:rsidRPr="00D811E2" w:rsidRDefault="0009609E"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2015</w:t>
            </w:r>
          </w:p>
        </w:tc>
        <w:tc>
          <w:tcPr>
            <w:tcW w:w="960" w:type="dxa"/>
            <w:noWrap/>
            <w:vAlign w:val="center"/>
            <w:hideMark/>
          </w:tcPr>
          <w:p w14:paraId="7B7A0D13" w14:textId="77777777" w:rsidR="0009609E" w:rsidRPr="00D811E2" w:rsidRDefault="0009609E"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2016</w:t>
            </w:r>
          </w:p>
        </w:tc>
        <w:tc>
          <w:tcPr>
            <w:tcW w:w="960" w:type="dxa"/>
            <w:noWrap/>
            <w:vAlign w:val="center"/>
            <w:hideMark/>
          </w:tcPr>
          <w:p w14:paraId="14548E83" w14:textId="77777777" w:rsidR="0009609E" w:rsidRPr="00D811E2" w:rsidRDefault="0009609E"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2017</w:t>
            </w:r>
          </w:p>
        </w:tc>
        <w:tc>
          <w:tcPr>
            <w:tcW w:w="960" w:type="dxa"/>
            <w:noWrap/>
            <w:vAlign w:val="center"/>
            <w:hideMark/>
          </w:tcPr>
          <w:p w14:paraId="0AEBEDC4" w14:textId="77777777" w:rsidR="0009609E" w:rsidRPr="00D811E2" w:rsidRDefault="0009609E"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2018</w:t>
            </w:r>
          </w:p>
        </w:tc>
      </w:tr>
      <w:tr w:rsidR="00D811E2" w:rsidRPr="00D811E2" w14:paraId="3F8C5EFB" w14:textId="77777777" w:rsidTr="000324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73" w:type="dxa"/>
            <w:noWrap/>
            <w:hideMark/>
          </w:tcPr>
          <w:p w14:paraId="4E318E49" w14:textId="77777777" w:rsidR="0009609E" w:rsidRPr="00D811E2" w:rsidRDefault="0009609E" w:rsidP="0009609E">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1. Nominālā bilance (saskaņā ar SIP izpratni)</w:t>
            </w:r>
          </w:p>
        </w:tc>
        <w:tc>
          <w:tcPr>
            <w:tcW w:w="960" w:type="dxa"/>
            <w:noWrap/>
            <w:vAlign w:val="center"/>
          </w:tcPr>
          <w:p w14:paraId="5E2C623B"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-1,50%</w:t>
            </w:r>
          </w:p>
        </w:tc>
        <w:tc>
          <w:tcPr>
            <w:tcW w:w="960" w:type="dxa"/>
            <w:noWrap/>
            <w:vAlign w:val="center"/>
          </w:tcPr>
          <w:p w14:paraId="67C157DC"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-1,40%</w:t>
            </w:r>
          </w:p>
        </w:tc>
        <w:tc>
          <w:tcPr>
            <w:tcW w:w="960" w:type="dxa"/>
            <w:noWrap/>
            <w:vAlign w:val="center"/>
          </w:tcPr>
          <w:p w14:paraId="7F54785F"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-1,27%</w:t>
            </w:r>
          </w:p>
        </w:tc>
        <w:tc>
          <w:tcPr>
            <w:tcW w:w="960" w:type="dxa"/>
            <w:noWrap/>
            <w:vAlign w:val="center"/>
          </w:tcPr>
          <w:p w14:paraId="669AD277"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-1,40%</w:t>
            </w:r>
          </w:p>
        </w:tc>
        <w:tc>
          <w:tcPr>
            <w:tcW w:w="960" w:type="dxa"/>
            <w:noWrap/>
            <w:vAlign w:val="center"/>
          </w:tcPr>
          <w:p w14:paraId="5C89061B"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-1,30%</w:t>
            </w:r>
          </w:p>
        </w:tc>
        <w:tc>
          <w:tcPr>
            <w:tcW w:w="960" w:type="dxa"/>
            <w:noWrap/>
            <w:vAlign w:val="center"/>
          </w:tcPr>
          <w:p w14:paraId="0FBC22B6"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-1,70%</w:t>
            </w:r>
          </w:p>
        </w:tc>
      </w:tr>
      <w:tr w:rsidR="00D811E2" w:rsidRPr="00D811E2" w14:paraId="3AD4084A" w14:textId="77777777" w:rsidTr="00032492">
        <w:trPr>
          <w:trHeight w:val="300"/>
          <w:jc w:val="center"/>
        </w:trPr>
        <w:tc>
          <w:tcPr>
            <w:cnfStyle w:val="001000000000" w:firstRow="0" w:lastRow="0" w:firstColumn="1" w:lastColumn="0" w:oddVBand="0" w:evenVBand="0" w:oddHBand="0" w:evenHBand="0" w:firstRowFirstColumn="0" w:firstRowLastColumn="0" w:lastRowFirstColumn="0" w:lastRowLastColumn="0"/>
            <w:tcW w:w="3273" w:type="dxa"/>
            <w:noWrap/>
            <w:hideMark/>
          </w:tcPr>
          <w:p w14:paraId="0724AC3D" w14:textId="77777777" w:rsidR="0009609E" w:rsidRPr="00D811E2" w:rsidRDefault="0009609E" w:rsidP="0009609E">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2. Nominālā bilance (saskaņā ar nacionālo metodoloģiju)</w:t>
            </w:r>
          </w:p>
        </w:tc>
        <w:tc>
          <w:tcPr>
            <w:tcW w:w="960" w:type="dxa"/>
            <w:noWrap/>
            <w:vAlign w:val="center"/>
          </w:tcPr>
          <w:p w14:paraId="24F0469A"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-0,90%</w:t>
            </w:r>
          </w:p>
        </w:tc>
        <w:tc>
          <w:tcPr>
            <w:tcW w:w="960" w:type="dxa"/>
            <w:noWrap/>
            <w:vAlign w:val="center"/>
          </w:tcPr>
          <w:p w14:paraId="30D13C64"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-1,50%</w:t>
            </w:r>
          </w:p>
        </w:tc>
        <w:tc>
          <w:tcPr>
            <w:tcW w:w="960" w:type="dxa"/>
            <w:noWrap/>
            <w:vAlign w:val="center"/>
          </w:tcPr>
          <w:p w14:paraId="660695E0"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-1,40%</w:t>
            </w:r>
          </w:p>
        </w:tc>
        <w:tc>
          <w:tcPr>
            <w:tcW w:w="960" w:type="dxa"/>
            <w:noWrap/>
            <w:vAlign w:val="center"/>
          </w:tcPr>
          <w:p w14:paraId="25B0B281"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-1,96%</w:t>
            </w:r>
          </w:p>
        </w:tc>
        <w:tc>
          <w:tcPr>
            <w:tcW w:w="960" w:type="dxa"/>
            <w:noWrap/>
            <w:vAlign w:val="center"/>
          </w:tcPr>
          <w:p w14:paraId="06BCC992"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-1,80%</w:t>
            </w:r>
          </w:p>
        </w:tc>
        <w:tc>
          <w:tcPr>
            <w:tcW w:w="960" w:type="dxa"/>
            <w:noWrap/>
            <w:vAlign w:val="center"/>
          </w:tcPr>
          <w:p w14:paraId="138D9D30"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-1,79%</w:t>
            </w:r>
          </w:p>
        </w:tc>
      </w:tr>
      <w:tr w:rsidR="00D811E2" w:rsidRPr="00D811E2" w14:paraId="1D3C71D7" w14:textId="77777777" w:rsidTr="00032492">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9033" w:type="dxa"/>
            <w:gridSpan w:val="7"/>
            <w:noWrap/>
            <w:vAlign w:val="center"/>
          </w:tcPr>
          <w:p w14:paraId="230F4E52" w14:textId="77777777" w:rsidR="0057255A" w:rsidRPr="00D811E2" w:rsidRDefault="0057255A" w:rsidP="00D811E2">
            <w:pPr>
              <w:jc w:val="right"/>
              <w:rPr>
                <w:rFonts w:ascii="Times New Roman" w:eastAsia="Times New Roman" w:hAnsi="Times New Roman" w:cs="Times New Roman"/>
                <w:b w:val="0"/>
                <w:color w:val="auto"/>
                <w:sz w:val="20"/>
                <w:szCs w:val="20"/>
                <w:lang w:eastAsia="lv-LV"/>
              </w:rPr>
            </w:pPr>
          </w:p>
        </w:tc>
      </w:tr>
      <w:tr w:rsidR="00D811E2" w:rsidRPr="00D811E2" w14:paraId="59A80872" w14:textId="77777777" w:rsidTr="00032492">
        <w:trPr>
          <w:trHeight w:val="300"/>
          <w:jc w:val="center"/>
        </w:trPr>
        <w:tc>
          <w:tcPr>
            <w:cnfStyle w:val="001000000000" w:firstRow="0" w:lastRow="0" w:firstColumn="1" w:lastColumn="0" w:oddVBand="0" w:evenVBand="0" w:oddHBand="0" w:evenHBand="0" w:firstRowFirstColumn="0" w:firstRowLastColumn="0" w:lastRowFirstColumn="0" w:lastRowLastColumn="0"/>
            <w:tcW w:w="3273" w:type="dxa"/>
            <w:noWrap/>
            <w:hideMark/>
          </w:tcPr>
          <w:p w14:paraId="48BB374E" w14:textId="77777777" w:rsidR="0009609E" w:rsidRPr="00D811E2" w:rsidRDefault="0009609E" w:rsidP="0009609E">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Max (1;2)</w:t>
            </w:r>
          </w:p>
        </w:tc>
        <w:tc>
          <w:tcPr>
            <w:tcW w:w="960" w:type="dxa"/>
            <w:noWrap/>
            <w:vAlign w:val="center"/>
            <w:hideMark/>
          </w:tcPr>
          <w:p w14:paraId="514576CA"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c>
          <w:tcPr>
            <w:tcW w:w="960" w:type="dxa"/>
            <w:noWrap/>
            <w:vAlign w:val="center"/>
            <w:hideMark/>
          </w:tcPr>
          <w:p w14:paraId="70EAF9D9"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c>
          <w:tcPr>
            <w:tcW w:w="960" w:type="dxa"/>
            <w:noWrap/>
            <w:vAlign w:val="center"/>
            <w:hideMark/>
          </w:tcPr>
          <w:p w14:paraId="017FEB34"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c>
          <w:tcPr>
            <w:tcW w:w="960" w:type="dxa"/>
            <w:noWrap/>
            <w:vAlign w:val="center"/>
          </w:tcPr>
          <w:p w14:paraId="236ED6A0"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-1,40%</w:t>
            </w:r>
          </w:p>
        </w:tc>
        <w:tc>
          <w:tcPr>
            <w:tcW w:w="960" w:type="dxa"/>
            <w:noWrap/>
            <w:vAlign w:val="center"/>
          </w:tcPr>
          <w:p w14:paraId="6E2C7C75"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-1,30%</w:t>
            </w:r>
          </w:p>
        </w:tc>
        <w:tc>
          <w:tcPr>
            <w:tcW w:w="960" w:type="dxa"/>
            <w:noWrap/>
            <w:vAlign w:val="center"/>
          </w:tcPr>
          <w:p w14:paraId="3BAF9305"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-1,70%</w:t>
            </w:r>
          </w:p>
        </w:tc>
      </w:tr>
      <w:tr w:rsidR="00D811E2" w:rsidRPr="00D811E2" w14:paraId="0966490F" w14:textId="77777777" w:rsidTr="0003249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73" w:type="dxa"/>
            <w:noWrap/>
            <w:hideMark/>
          </w:tcPr>
          <w:p w14:paraId="1E58F141" w14:textId="529028EC" w:rsidR="0009609E" w:rsidRPr="00D811E2" w:rsidRDefault="0057255A" w:rsidP="0009609E">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C</w:t>
            </w:r>
            <w:r w:rsidR="0009609E" w:rsidRPr="00D811E2">
              <w:rPr>
                <w:rFonts w:ascii="Times New Roman" w:eastAsia="Times New Roman" w:hAnsi="Times New Roman" w:cs="Times New Roman"/>
                <w:b w:val="0"/>
                <w:color w:val="auto"/>
                <w:sz w:val="20"/>
                <w:szCs w:val="20"/>
                <w:lang w:eastAsia="lv-LV"/>
              </w:rPr>
              <w:t>ikliskā komponente (LV metodoloģija)</w:t>
            </w:r>
          </w:p>
        </w:tc>
        <w:tc>
          <w:tcPr>
            <w:tcW w:w="960" w:type="dxa"/>
            <w:noWrap/>
            <w:vAlign w:val="center"/>
            <w:hideMark/>
          </w:tcPr>
          <w:p w14:paraId="552C1D68"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c>
          <w:tcPr>
            <w:tcW w:w="960" w:type="dxa"/>
            <w:noWrap/>
            <w:vAlign w:val="center"/>
            <w:hideMark/>
          </w:tcPr>
          <w:p w14:paraId="187113F9"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c>
          <w:tcPr>
            <w:tcW w:w="960" w:type="dxa"/>
            <w:noWrap/>
            <w:vAlign w:val="center"/>
            <w:hideMark/>
          </w:tcPr>
          <w:p w14:paraId="4517EE3B"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c>
          <w:tcPr>
            <w:tcW w:w="960" w:type="dxa"/>
            <w:noWrap/>
            <w:vAlign w:val="center"/>
            <w:hideMark/>
          </w:tcPr>
          <w:p w14:paraId="421B1ECE"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-0,10%</w:t>
            </w:r>
          </w:p>
        </w:tc>
        <w:tc>
          <w:tcPr>
            <w:tcW w:w="960" w:type="dxa"/>
            <w:noWrap/>
            <w:vAlign w:val="center"/>
            <w:hideMark/>
          </w:tcPr>
          <w:p w14:paraId="2579A8B8"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0,00%</w:t>
            </w:r>
          </w:p>
        </w:tc>
        <w:tc>
          <w:tcPr>
            <w:tcW w:w="960" w:type="dxa"/>
            <w:noWrap/>
            <w:vAlign w:val="center"/>
            <w:hideMark/>
          </w:tcPr>
          <w:p w14:paraId="474A5331" w14:textId="77777777" w:rsidR="0009609E" w:rsidRPr="00D811E2" w:rsidRDefault="0009609E"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0,00%</w:t>
            </w:r>
          </w:p>
        </w:tc>
      </w:tr>
      <w:tr w:rsidR="00D811E2" w:rsidRPr="00D811E2" w14:paraId="13BC2D9F" w14:textId="77777777" w:rsidTr="00032492">
        <w:trPr>
          <w:trHeight w:val="300"/>
          <w:jc w:val="center"/>
        </w:trPr>
        <w:tc>
          <w:tcPr>
            <w:cnfStyle w:val="001000000000" w:firstRow="0" w:lastRow="0" w:firstColumn="1" w:lastColumn="0" w:oddVBand="0" w:evenVBand="0" w:oddHBand="0" w:evenHBand="0" w:firstRowFirstColumn="0" w:firstRowLastColumn="0" w:lastRowFirstColumn="0" w:lastRowLastColumn="0"/>
            <w:tcW w:w="3273" w:type="dxa"/>
            <w:noWrap/>
            <w:hideMark/>
          </w:tcPr>
          <w:p w14:paraId="340D7827" w14:textId="77777777" w:rsidR="0009609E" w:rsidRPr="00D811E2" w:rsidRDefault="0009609E" w:rsidP="0009609E">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Vienreizējie izdevumi (papildus izdevumi aizsardzības finansēšanai)</w:t>
            </w:r>
          </w:p>
        </w:tc>
        <w:tc>
          <w:tcPr>
            <w:tcW w:w="960" w:type="dxa"/>
            <w:noWrap/>
            <w:vAlign w:val="center"/>
            <w:hideMark/>
          </w:tcPr>
          <w:p w14:paraId="03C73063"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c>
          <w:tcPr>
            <w:tcW w:w="960" w:type="dxa"/>
            <w:noWrap/>
            <w:vAlign w:val="center"/>
            <w:hideMark/>
          </w:tcPr>
          <w:p w14:paraId="0B97ECA2"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c>
          <w:tcPr>
            <w:tcW w:w="960" w:type="dxa"/>
            <w:noWrap/>
            <w:vAlign w:val="center"/>
            <w:hideMark/>
          </w:tcPr>
          <w:p w14:paraId="5E5DABD6"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c>
          <w:tcPr>
            <w:tcW w:w="960" w:type="dxa"/>
            <w:noWrap/>
            <w:vAlign w:val="center"/>
            <w:hideMark/>
          </w:tcPr>
          <w:p w14:paraId="4A96184B"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-0,30%</w:t>
            </w:r>
          </w:p>
        </w:tc>
        <w:tc>
          <w:tcPr>
            <w:tcW w:w="960" w:type="dxa"/>
            <w:noWrap/>
            <w:vAlign w:val="center"/>
            <w:hideMark/>
          </w:tcPr>
          <w:p w14:paraId="7B2ED021"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-0,40%</w:t>
            </w:r>
          </w:p>
        </w:tc>
        <w:tc>
          <w:tcPr>
            <w:tcW w:w="960" w:type="dxa"/>
            <w:noWrap/>
            <w:vAlign w:val="center"/>
            <w:hideMark/>
          </w:tcPr>
          <w:p w14:paraId="4DF38EDA"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-0,50%</w:t>
            </w:r>
          </w:p>
        </w:tc>
      </w:tr>
      <w:tr w:rsidR="00D811E2" w:rsidRPr="00D811E2" w14:paraId="2546FAF3" w14:textId="77777777" w:rsidTr="00032492">
        <w:trPr>
          <w:cnfStyle w:val="000000100000" w:firstRow="0" w:lastRow="0" w:firstColumn="0" w:lastColumn="0" w:oddVBand="0" w:evenVBand="0" w:oddHBand="1"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9033" w:type="dxa"/>
            <w:gridSpan w:val="7"/>
            <w:noWrap/>
            <w:vAlign w:val="center"/>
            <w:hideMark/>
          </w:tcPr>
          <w:p w14:paraId="3165B113" w14:textId="7A8138E2" w:rsidR="0057255A" w:rsidRPr="00D811E2" w:rsidRDefault="0057255A" w:rsidP="00D811E2">
            <w:pPr>
              <w:jc w:val="right"/>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r>
      <w:tr w:rsidR="00D811E2" w:rsidRPr="00D811E2" w14:paraId="1B5157BB" w14:textId="77777777" w:rsidTr="00032492">
        <w:trPr>
          <w:trHeight w:val="300"/>
          <w:jc w:val="center"/>
        </w:trPr>
        <w:tc>
          <w:tcPr>
            <w:cnfStyle w:val="001000000000" w:firstRow="0" w:lastRow="0" w:firstColumn="1" w:lastColumn="0" w:oddVBand="0" w:evenVBand="0" w:oddHBand="0" w:evenHBand="0" w:firstRowFirstColumn="0" w:firstRowLastColumn="0" w:lastRowFirstColumn="0" w:lastRowLastColumn="0"/>
            <w:tcW w:w="3273" w:type="dxa"/>
            <w:noWrap/>
            <w:hideMark/>
          </w:tcPr>
          <w:p w14:paraId="2F15F5F9" w14:textId="77777777" w:rsidR="0009609E" w:rsidRPr="00D811E2" w:rsidRDefault="0009609E" w:rsidP="0009609E">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lastRenderedPageBreak/>
              <w:t>Strukturālās bilances mērķis (LV metodoloģija)</w:t>
            </w:r>
          </w:p>
        </w:tc>
        <w:tc>
          <w:tcPr>
            <w:tcW w:w="960" w:type="dxa"/>
            <w:noWrap/>
            <w:vAlign w:val="center"/>
            <w:hideMark/>
          </w:tcPr>
          <w:p w14:paraId="788A260C"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lang w:eastAsia="lv-LV"/>
              </w:rPr>
            </w:pPr>
            <w:r w:rsidRPr="00D811E2">
              <w:rPr>
                <w:rFonts w:ascii="Times New Roman" w:eastAsia="Times New Roman" w:hAnsi="Times New Roman" w:cs="Times New Roman"/>
                <w:b/>
                <w:color w:val="auto"/>
                <w:sz w:val="20"/>
                <w:szCs w:val="20"/>
                <w:lang w:eastAsia="lv-LV"/>
              </w:rPr>
              <w:t> </w:t>
            </w:r>
          </w:p>
        </w:tc>
        <w:tc>
          <w:tcPr>
            <w:tcW w:w="960" w:type="dxa"/>
            <w:noWrap/>
            <w:vAlign w:val="center"/>
            <w:hideMark/>
          </w:tcPr>
          <w:p w14:paraId="66E29D55"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lang w:eastAsia="lv-LV"/>
              </w:rPr>
            </w:pPr>
            <w:r w:rsidRPr="00D811E2">
              <w:rPr>
                <w:rFonts w:ascii="Times New Roman" w:eastAsia="Times New Roman" w:hAnsi="Times New Roman" w:cs="Times New Roman"/>
                <w:b/>
                <w:color w:val="auto"/>
                <w:sz w:val="20"/>
                <w:szCs w:val="20"/>
                <w:lang w:eastAsia="lv-LV"/>
              </w:rPr>
              <w:t> </w:t>
            </w:r>
          </w:p>
        </w:tc>
        <w:tc>
          <w:tcPr>
            <w:tcW w:w="960" w:type="dxa"/>
            <w:noWrap/>
            <w:vAlign w:val="center"/>
            <w:hideMark/>
          </w:tcPr>
          <w:p w14:paraId="1EBAB334"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lang w:eastAsia="lv-LV"/>
              </w:rPr>
            </w:pPr>
            <w:r w:rsidRPr="00D811E2">
              <w:rPr>
                <w:rFonts w:ascii="Times New Roman" w:eastAsia="Times New Roman" w:hAnsi="Times New Roman" w:cs="Times New Roman"/>
                <w:b/>
                <w:color w:val="auto"/>
                <w:sz w:val="20"/>
                <w:szCs w:val="20"/>
                <w:lang w:eastAsia="lv-LV"/>
              </w:rPr>
              <w:t> </w:t>
            </w:r>
          </w:p>
        </w:tc>
        <w:tc>
          <w:tcPr>
            <w:tcW w:w="960" w:type="dxa"/>
            <w:noWrap/>
            <w:vAlign w:val="center"/>
          </w:tcPr>
          <w:p w14:paraId="7B7985E3"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lang w:eastAsia="lv-LV"/>
              </w:rPr>
            </w:pPr>
            <w:r w:rsidRPr="00D811E2">
              <w:rPr>
                <w:rFonts w:ascii="Times New Roman" w:eastAsia="Times New Roman" w:hAnsi="Times New Roman" w:cs="Times New Roman"/>
                <w:b/>
                <w:color w:val="auto"/>
                <w:sz w:val="20"/>
                <w:szCs w:val="20"/>
                <w:lang w:eastAsia="lv-LV"/>
              </w:rPr>
              <w:t>-1,0%</w:t>
            </w:r>
          </w:p>
        </w:tc>
        <w:tc>
          <w:tcPr>
            <w:tcW w:w="960" w:type="dxa"/>
            <w:noWrap/>
            <w:vAlign w:val="center"/>
          </w:tcPr>
          <w:p w14:paraId="001257EB"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lang w:eastAsia="lv-LV"/>
              </w:rPr>
            </w:pPr>
            <w:r w:rsidRPr="00D811E2">
              <w:rPr>
                <w:rFonts w:ascii="Times New Roman" w:eastAsia="Times New Roman" w:hAnsi="Times New Roman" w:cs="Times New Roman"/>
                <w:b/>
                <w:color w:val="auto"/>
                <w:sz w:val="20"/>
                <w:szCs w:val="20"/>
                <w:lang w:eastAsia="lv-LV"/>
              </w:rPr>
              <w:t>-0,9%</w:t>
            </w:r>
          </w:p>
        </w:tc>
        <w:tc>
          <w:tcPr>
            <w:tcW w:w="960" w:type="dxa"/>
            <w:noWrap/>
            <w:vAlign w:val="center"/>
          </w:tcPr>
          <w:p w14:paraId="5AC38EFD" w14:textId="77777777" w:rsidR="0009609E" w:rsidRPr="00D811E2" w:rsidRDefault="0009609E"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lang w:eastAsia="lv-LV"/>
              </w:rPr>
            </w:pPr>
            <w:r w:rsidRPr="00D811E2">
              <w:rPr>
                <w:rFonts w:ascii="Times New Roman" w:eastAsia="Times New Roman" w:hAnsi="Times New Roman" w:cs="Times New Roman"/>
                <w:b/>
                <w:color w:val="auto"/>
                <w:sz w:val="20"/>
                <w:szCs w:val="20"/>
                <w:lang w:eastAsia="lv-LV"/>
              </w:rPr>
              <w:t>-1,2%</w:t>
            </w:r>
          </w:p>
        </w:tc>
      </w:tr>
    </w:tbl>
    <w:p w14:paraId="292F526C" w14:textId="77777777" w:rsidR="004C7E0F" w:rsidRPr="0009609E" w:rsidRDefault="004C7E0F" w:rsidP="004C7E0F">
      <w:pPr>
        <w:spacing w:before="120"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Augstāk minētais aprēķins noteica strukturālo bilanci, kas ir atbilstoša bilances nosacījumam.</w:t>
      </w:r>
    </w:p>
    <w:p w14:paraId="1779D2B4" w14:textId="40D9AD0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FDL paredz, ka bilances nosacījuma ievērošana nav vienīgais fiskālais nosacījums. Ir jāievēro arī </w:t>
      </w:r>
      <w:r w:rsidRPr="0009609E">
        <w:rPr>
          <w:rFonts w:ascii="Times New Roman" w:eastAsia="Calibri" w:hAnsi="Times New Roman" w:cs="Times New Roman"/>
          <w:b/>
          <w:color w:val="000000"/>
          <w:sz w:val="24"/>
          <w:szCs w:val="24"/>
        </w:rPr>
        <w:t>izdevumu pieauguma</w:t>
      </w:r>
      <w:r w:rsidRPr="0009609E">
        <w:rPr>
          <w:rFonts w:ascii="Times New Roman" w:eastAsia="Calibri" w:hAnsi="Times New Roman" w:cs="Times New Roman"/>
          <w:color w:val="000000"/>
          <w:sz w:val="24"/>
          <w:szCs w:val="24"/>
        </w:rPr>
        <w:t xml:space="preserve"> nosacījums, ko nosaka Regula Nr. 1175/2011. Šis nosacījums vispārīgajā gadījumā var noteikt ambiciozākus strukturālās bilances mērķus. FDL arī paredz, ka centrālās valdības izdevumi tiek noteikti Ietvara likumā turpmākajiem 3 gadiem un tie ir juridiski saistoši (</w:t>
      </w:r>
      <w:r w:rsidRPr="0009609E">
        <w:rPr>
          <w:rFonts w:ascii="Times New Roman" w:eastAsia="Calibri" w:hAnsi="Times New Roman" w:cs="Times New Roman"/>
          <w:b/>
          <w:color w:val="000000"/>
          <w:sz w:val="24"/>
          <w:szCs w:val="24"/>
        </w:rPr>
        <w:t>izdevumu pārmantojamības nosacījums</w:t>
      </w:r>
      <w:r w:rsidRPr="0009609E">
        <w:rPr>
          <w:rFonts w:ascii="Times New Roman" w:eastAsia="Calibri" w:hAnsi="Times New Roman" w:cs="Times New Roman"/>
          <w:color w:val="000000"/>
          <w:sz w:val="24"/>
          <w:szCs w:val="24"/>
        </w:rPr>
        <w:t xml:space="preserve">). Līdz ar to var izveidoties situācija, ka centrālās valdības izdevumu paturēšana iepriekšējā Ietvara likumā noteiktajā līmenī var mainīt strukturālās bilances mērķi. Tomēr izmaiņas ierobežo </w:t>
      </w:r>
      <w:r w:rsidR="00612F17">
        <w:rPr>
          <w:rFonts w:ascii="Times New Roman" w:eastAsia="Calibri" w:hAnsi="Times New Roman" w:cs="Times New Roman"/>
          <w:color w:val="000000"/>
          <w:sz w:val="24"/>
          <w:szCs w:val="24"/>
        </w:rPr>
        <w:t>FDL</w:t>
      </w:r>
      <w:r w:rsidRPr="0009609E">
        <w:rPr>
          <w:rFonts w:ascii="Times New Roman" w:eastAsia="Calibri" w:hAnsi="Times New Roman" w:cs="Times New Roman"/>
          <w:color w:val="000000"/>
          <w:sz w:val="24"/>
          <w:szCs w:val="24"/>
        </w:rPr>
        <w:t xml:space="preserve"> noteikums, ka, ja izdevumu novirzes ir lielākas par 0,1% no IKP, izdevumi netiek saglabāti, bet tiek aprēķināti no jauna saskaņā ar strukturālās bilances un i</w:t>
      </w:r>
      <w:r>
        <w:rPr>
          <w:rFonts w:ascii="Times New Roman" w:eastAsia="Calibri" w:hAnsi="Times New Roman" w:cs="Times New Roman"/>
          <w:color w:val="000000"/>
          <w:sz w:val="24"/>
          <w:szCs w:val="24"/>
        </w:rPr>
        <w:t>zdevumu pieauguma nosacījumiem.</w:t>
      </w:r>
    </w:p>
    <w:p w14:paraId="3794F239" w14:textId="26004FDE"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Jāatzīmē, ka veicot strukturālās bilances mērķu pārbaudi atbilstoši izdevumu </w:t>
      </w:r>
      <w:r w:rsidRPr="0009609E">
        <w:rPr>
          <w:rFonts w:ascii="Times New Roman" w:eastAsia="Calibri" w:hAnsi="Times New Roman" w:cs="Times New Roman"/>
          <w:b/>
          <w:color w:val="000000"/>
          <w:sz w:val="24"/>
          <w:szCs w:val="24"/>
        </w:rPr>
        <w:t>pieauguma nosacījumam</w:t>
      </w:r>
      <w:r w:rsidRPr="0009609E">
        <w:rPr>
          <w:rFonts w:ascii="Times New Roman" w:eastAsia="Calibri" w:hAnsi="Times New Roman" w:cs="Times New Roman"/>
          <w:color w:val="000000"/>
          <w:sz w:val="24"/>
          <w:szCs w:val="24"/>
        </w:rPr>
        <w:t xml:space="preserve">, nominālo izdevumu korekcijām tiek piemērotas </w:t>
      </w:r>
      <w:r w:rsidR="00612F17">
        <w:rPr>
          <w:rFonts w:ascii="Times New Roman" w:eastAsia="Calibri" w:hAnsi="Times New Roman" w:cs="Times New Roman"/>
          <w:color w:val="000000"/>
          <w:sz w:val="24"/>
          <w:szCs w:val="24"/>
        </w:rPr>
        <w:t>FM</w:t>
      </w:r>
      <w:r w:rsidRPr="0009609E">
        <w:rPr>
          <w:rFonts w:ascii="Times New Roman" w:eastAsia="Calibri" w:hAnsi="Times New Roman" w:cs="Times New Roman"/>
          <w:color w:val="000000"/>
          <w:sz w:val="24"/>
          <w:szCs w:val="24"/>
        </w:rPr>
        <w:t xml:space="preserve"> veiktās prognozes attiecībā uz valsts parāda apkalpošanas izdevumiem, investīciju izdevumiem, izdevumiem ārvalstu finanšu palīdzības projektiem, kas atbilst saņemtajiem ārvalstu finanšu palīdzības ieņēmumiem, diskrecionārajiem ieņēmumiem</w:t>
      </w:r>
      <w:r w:rsidR="00612F17">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kā arī inflācijas un potenciālā IKP pieauguma rādītājiem. Jāatzīmē, ka diskrecionārie ieņēmumi tiek papildus koriģēti ar iemaksu </w:t>
      </w:r>
      <w:r w:rsidR="00612F17">
        <w:rPr>
          <w:rFonts w:ascii="Times New Roman" w:eastAsia="Calibri" w:hAnsi="Times New Roman" w:cs="Times New Roman"/>
          <w:color w:val="000000"/>
          <w:sz w:val="24"/>
          <w:szCs w:val="24"/>
        </w:rPr>
        <w:t>2.</w:t>
      </w:r>
      <w:r w:rsidRPr="0009609E">
        <w:rPr>
          <w:rFonts w:ascii="Times New Roman" w:eastAsia="Calibri" w:hAnsi="Times New Roman" w:cs="Times New Roman"/>
          <w:color w:val="000000"/>
          <w:sz w:val="24"/>
          <w:szCs w:val="24"/>
        </w:rPr>
        <w:t>pensiju līmenī palielinājumu</w:t>
      </w:r>
      <w:r>
        <w:rPr>
          <w:rFonts w:ascii="Times New Roman" w:eastAsia="Calibri" w:hAnsi="Times New Roman" w:cs="Times New Roman"/>
          <w:color w:val="000000"/>
          <w:sz w:val="24"/>
          <w:szCs w:val="24"/>
        </w:rPr>
        <w:t xml:space="preserve">, </w:t>
      </w:r>
      <w:r w:rsidRPr="0009609E">
        <w:rPr>
          <w:rFonts w:ascii="Times New Roman" w:eastAsia="Calibri" w:hAnsi="Times New Roman" w:cs="Times New Roman"/>
          <w:color w:val="000000"/>
          <w:sz w:val="24"/>
          <w:szCs w:val="24"/>
        </w:rPr>
        <w:t>efektu, kas rodas no iespējas piemērot atkāpes no VTM par īstenotajām strukturālajām reformām, saskaņā ar EK komunikācijā par esošā SIP regulējuma elastības labāku piemērošanu definēto attiecībā uz strukturālajām reformām</w:t>
      </w:r>
      <w:r>
        <w:rPr>
          <w:rFonts w:ascii="Times New Roman" w:eastAsia="Calibri" w:hAnsi="Times New Roman" w:cs="Times New Roman"/>
          <w:color w:val="000000"/>
          <w:sz w:val="24"/>
          <w:szCs w:val="24"/>
        </w:rPr>
        <w:t>, kā arī ar diskrecionāro efektu, kas rodas no vienreizējiem izdevumiem aizsardzības nozarei</w:t>
      </w:r>
      <w:r w:rsidRPr="0009609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Divi p</w:t>
      </w:r>
      <w:r w:rsidRPr="0009609E">
        <w:rPr>
          <w:rFonts w:ascii="Times New Roman" w:eastAsia="Calibri" w:hAnsi="Times New Roman" w:cs="Times New Roman"/>
          <w:color w:val="000000"/>
          <w:sz w:val="24"/>
          <w:szCs w:val="24"/>
        </w:rPr>
        <w:t>ēdēj</w:t>
      </w:r>
      <w:r>
        <w:rPr>
          <w:rFonts w:ascii="Times New Roman" w:eastAsia="Calibri" w:hAnsi="Times New Roman" w:cs="Times New Roman"/>
          <w:color w:val="000000"/>
          <w:sz w:val="24"/>
          <w:szCs w:val="24"/>
        </w:rPr>
        <w:t>ie apstākļi</w:t>
      </w:r>
      <w:r w:rsidRPr="0009609E">
        <w:rPr>
          <w:rFonts w:ascii="Times New Roman" w:eastAsia="Calibri" w:hAnsi="Times New Roman" w:cs="Times New Roman"/>
          <w:color w:val="000000"/>
          <w:sz w:val="24"/>
          <w:szCs w:val="24"/>
        </w:rPr>
        <w:t xml:space="preserve"> ir būtis</w:t>
      </w:r>
      <w:r>
        <w:rPr>
          <w:rFonts w:ascii="Times New Roman" w:eastAsia="Calibri" w:hAnsi="Times New Roman" w:cs="Times New Roman"/>
          <w:color w:val="000000"/>
          <w:sz w:val="24"/>
          <w:szCs w:val="24"/>
        </w:rPr>
        <w:t>ki</w:t>
      </w:r>
      <w:r w:rsidRPr="0009609E">
        <w:rPr>
          <w:rFonts w:ascii="Times New Roman" w:eastAsia="Calibri" w:hAnsi="Times New Roman" w:cs="Times New Roman"/>
          <w:color w:val="000000"/>
          <w:sz w:val="24"/>
          <w:szCs w:val="24"/>
        </w:rPr>
        <w:t>, lai izdevumu pieauguma nosacījums pareizi ņemtu vērā pieļaujamās atkāpes.</w:t>
      </w:r>
    </w:p>
    <w:p w14:paraId="681D3C56"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Veicot iegūto strukturālās bilances mērķu pārbaudi atbilstoši izdevumu pieauguma nosacījumam, iegūstam, ka 2016.gadā izdevumu pieaugums, ko pieļauj izdevumu pieauguma nosacījums atbilstoši potenciālā IKP pieaugumam ir 2,69%, savukārt pirmīt noteiktais strukturālās bilances mērķis nosaka, ka reālajiem koriģētajiem izdevumiem ir jāsamazinās par 0,9%. Līdz ar to 2016.gadā tiek saglabāts sākotnēji noteiktais strukturālās bilances mērķis -1,0% no IKP. </w:t>
      </w:r>
    </w:p>
    <w:p w14:paraId="44A0A1F5"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2017.gadā izdevumu pieaugums, ko pieļauj izdevumu pieauguma nosacījums atbilstoši potenciālā IKP pieaugumam ir 3,12%, savukārt reālais koriģēto izdevumu pieaugums, ko pieļauj pirmīt noteiktais strukturālās bilances mērķis ir 3,16%. Līdz ar to 2017.gadā tiek sākotnēji noteiktais strukturālās bilances mērķis tiek nedaudz koriģēts, bet noapaļošanas rezultātā joprojām saglabājam strukturālās bilances mērķi -0,9% no IKP. </w:t>
      </w:r>
    </w:p>
    <w:p w14:paraId="6172115D"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2018.gadā izdevumu pieaugums, ko pieļauj izdevumu pieauguma nosacījums atbilstoši potenciālā IKP pieaugumam ir 3,32%, savukārt reālais koriģēto izdevumu pieaugums, ko pieļauj pirmīt noteiktais strukturālās bilances mērķis ir 3,09%. Līdz ar to 2018.gadā tiek sākotnēji noteiktais strukturālās bilances mērķis -1,2% no IKP. </w:t>
      </w:r>
    </w:p>
    <w:p w14:paraId="7011030F"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Veicot pārmantojamības nosacījuma pārbaudi, tika konstatēts, ka ņemot vērā 0,1% ierobežojumu, visos Stabilitātes programmas gados pārmantojamības nosacījums tiek aizstāts ar no jauna aprēķinātajiem strukturālās bilances mērķiem.</w:t>
      </w:r>
    </w:p>
    <w:p w14:paraId="0EAE7B0D" w14:textId="4F483ABF" w:rsidR="0057255A" w:rsidRPr="00612F17" w:rsidRDefault="004C7E0F" w:rsidP="00612F17">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Līdz ar to ir noteikti fiskālie mērķi turpmākajiem trīs gadiem, t.i. nodrošināt vispārējās valdības budžeta strukturālo bilanci</w:t>
      </w:r>
      <w:r w:rsidRPr="0009609E">
        <w:rPr>
          <w:rFonts w:ascii="Garamond" w:eastAsia="Times New Roman" w:hAnsi="Garamond" w:cs="Times New Roman"/>
          <w:color w:val="000000"/>
          <w:sz w:val="24"/>
          <w:szCs w:val="24"/>
        </w:rPr>
        <w:t xml:space="preserve"> </w:t>
      </w:r>
      <w:r w:rsidRPr="0009609E">
        <w:rPr>
          <w:rFonts w:ascii="Times New Roman" w:eastAsia="Calibri" w:hAnsi="Times New Roman" w:cs="Times New Roman"/>
          <w:b/>
          <w:color w:val="000000"/>
          <w:sz w:val="24"/>
          <w:szCs w:val="24"/>
        </w:rPr>
        <w:t>2016.gadā -1,0% no IKP, 2017.gadā -0,9% no IKP un 2018.gadā – 1,2% no IKP.</w:t>
      </w:r>
      <w:r w:rsidR="00612F17">
        <w:rPr>
          <w:rFonts w:ascii="Times New Roman" w:eastAsia="Calibri" w:hAnsi="Times New Roman" w:cs="Times New Roman"/>
          <w:color w:val="000000"/>
          <w:sz w:val="24"/>
          <w:szCs w:val="24"/>
        </w:rPr>
        <w:t xml:space="preserve"> </w:t>
      </w:r>
    </w:p>
    <w:p w14:paraId="6925EC52" w14:textId="77777777" w:rsidR="0009609E" w:rsidRPr="0009609E" w:rsidRDefault="0009609E" w:rsidP="0057255A">
      <w:pPr>
        <w:spacing w:before="320" w:after="120" w:line="240" w:lineRule="auto"/>
        <w:ind w:firstLine="720"/>
        <w:jc w:val="both"/>
        <w:rPr>
          <w:rFonts w:ascii="Times New Roman" w:eastAsia="Calibri" w:hAnsi="Times New Roman" w:cs="Times New Roman"/>
          <w:b/>
          <w:color w:val="000000"/>
          <w:sz w:val="24"/>
          <w:szCs w:val="24"/>
        </w:rPr>
      </w:pPr>
      <w:r w:rsidRPr="0009609E">
        <w:rPr>
          <w:rFonts w:ascii="Times New Roman" w:eastAsia="Calibri" w:hAnsi="Times New Roman" w:cs="Times New Roman"/>
          <w:b/>
          <w:color w:val="000000"/>
          <w:sz w:val="24"/>
          <w:szCs w:val="24"/>
        </w:rPr>
        <w:t>Vienreizējie pasākumi</w:t>
      </w:r>
    </w:p>
    <w:p w14:paraId="61B3AEB9" w14:textId="0F023BD5"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lastRenderedPageBreak/>
        <w:t>Valsts aizsardzības finansēšanas likums, kas tika izsludināts 2014.gada 10.jūlijā, nosaka konkrētu aizsardzības nozares finansējuma apmēru procentos no IKP, attiecīgi 1% no IKP 2015.gadā,  1,1% no IKP 2016.gadā, 1,3% no IKP 2017.gadā, 1,5% no IKP 2018.gadā, 1,75% no IKP 2019.gadā un 2,0% no IKP 2020.gadā, turpmākajos gados paredzot to saglabāt 2,0% no IKP apmērā. Šajā likumā noteiktais aizsardzības finansējuma pieaugums ir saskaņā ar NATO Velsas samita deklarāciju par pakāpenisku aizsardzības finansējuma palielinājumu līdz 2% līmenim dekādes laikā. Šāds izdevumu pieaugums ir uzskatāms par adekvātu rīcību standarta drošības situācijās.  Tāpēc likumā noteiktais finansējuma apmērs attiecīgajiem gadiem j</w:t>
      </w:r>
      <w:r w:rsidR="00612F17">
        <w:rPr>
          <w:rFonts w:ascii="Times New Roman" w:eastAsia="Calibri" w:hAnsi="Times New Roman" w:cs="Times New Roman"/>
          <w:color w:val="000000"/>
          <w:sz w:val="24"/>
          <w:szCs w:val="24"/>
        </w:rPr>
        <w:t>au tika ņemts vērā likumā “Par v</w:t>
      </w:r>
      <w:r w:rsidRPr="0009609E">
        <w:rPr>
          <w:rFonts w:ascii="Times New Roman" w:eastAsia="Calibri" w:hAnsi="Times New Roman" w:cs="Times New Roman"/>
          <w:color w:val="000000"/>
          <w:sz w:val="24"/>
          <w:szCs w:val="24"/>
        </w:rPr>
        <w:t xml:space="preserve">idēja termiņa budžeta ietvaru 2015., 2016. un 2017.gadam”. </w:t>
      </w:r>
    </w:p>
    <w:p w14:paraId="4542E957" w14:textId="0BB987B2"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Tomēr ņemot vērā būtisku drošības risku pieaugumu Latvijā kontekstā ar militāro k</w:t>
      </w:r>
      <w:r>
        <w:rPr>
          <w:rFonts w:ascii="Times New Roman" w:eastAsia="Calibri" w:hAnsi="Times New Roman" w:cs="Times New Roman"/>
          <w:color w:val="000000"/>
          <w:sz w:val="24"/>
          <w:szCs w:val="24"/>
        </w:rPr>
        <w:t>onfliktu Ukrainā, kā arī būtiskiem</w:t>
      </w:r>
      <w:r w:rsidRPr="0009609E">
        <w:rPr>
          <w:rFonts w:ascii="Times New Roman" w:eastAsia="Calibri" w:hAnsi="Times New Roman" w:cs="Times New Roman"/>
          <w:color w:val="000000"/>
          <w:sz w:val="24"/>
          <w:szCs w:val="24"/>
        </w:rPr>
        <w:t xml:space="preserve"> Krievijas gaisa un jūras militārās tehnikas nepieteiktiem manevriem Latvijas robežu tuvumā, Latvijai nekavējoties ir jānodrošina aizsardzības kapacitāte atbilstoši jaunajiem drošības riskiem. Līdz ar to Latvijas Stabilitātes programma paredz 2016</w:t>
      </w:r>
      <w:r w:rsidR="00EC27F9">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2019</w:t>
      </w:r>
      <w:r>
        <w:rPr>
          <w:rFonts w:ascii="Times New Roman" w:eastAsia="Calibri" w:hAnsi="Times New Roman" w:cs="Times New Roman"/>
          <w:color w:val="000000"/>
          <w:sz w:val="24"/>
          <w:szCs w:val="24"/>
        </w:rPr>
        <w:t>.gadā</w:t>
      </w:r>
      <w:r w:rsidRPr="0009609E">
        <w:rPr>
          <w:rFonts w:ascii="Times New Roman" w:eastAsia="Calibri" w:hAnsi="Times New Roman" w:cs="Times New Roman"/>
          <w:color w:val="000000"/>
          <w:sz w:val="24"/>
          <w:szCs w:val="24"/>
        </w:rPr>
        <w:t xml:space="preserve"> papildu finansējuma piešķiršanu aizsardzībai attiecīgi 0,3%; 0,4%; 0,5% un 0,25% virs Valsts aizsardzības finansēšanas likumā noteiktā līmeņa. Tādejādi tiek nodrošināts, ka 2% finansējum</w:t>
      </w:r>
      <w:r>
        <w:rPr>
          <w:rFonts w:ascii="Times New Roman" w:eastAsia="Calibri" w:hAnsi="Times New Roman" w:cs="Times New Roman"/>
          <w:color w:val="000000"/>
          <w:sz w:val="24"/>
          <w:szCs w:val="24"/>
        </w:rPr>
        <w:t>s tiek sasniegts jau 2018.gadā.</w:t>
      </w:r>
    </w:p>
    <w:p w14:paraId="4F588130" w14:textId="77777777" w:rsidR="0009609E" w:rsidRPr="0009609E" w:rsidRDefault="0009609E" w:rsidP="0009609E">
      <w:pPr>
        <w:spacing w:after="120" w:line="240" w:lineRule="auto"/>
        <w:jc w:val="both"/>
        <w:rPr>
          <w:rFonts w:ascii="Garamond" w:eastAsia="Calibri" w:hAnsi="Garamond" w:cs="Times New Roman"/>
          <w:i/>
          <w:color w:val="000000"/>
          <w:sz w:val="24"/>
          <w:szCs w:val="24"/>
        </w:rPr>
      </w:pPr>
    </w:p>
    <w:p w14:paraId="1160F9BD" w14:textId="77777777" w:rsidR="0009609E" w:rsidRPr="0009609E" w:rsidRDefault="0009609E" w:rsidP="00CC6037">
      <w:pPr>
        <w:spacing w:after="120" w:line="240" w:lineRule="auto"/>
        <w:jc w:val="center"/>
        <w:rPr>
          <w:rFonts w:ascii="Garamond" w:eastAsia="Calibri" w:hAnsi="Garamond" w:cs="Times New Roman"/>
          <w:i/>
          <w:color w:val="000000"/>
          <w:sz w:val="24"/>
          <w:szCs w:val="24"/>
        </w:rPr>
      </w:pPr>
      <w:r w:rsidRPr="0009609E">
        <w:rPr>
          <w:rFonts w:ascii="Garamond" w:eastAsia="Calibri" w:hAnsi="Garamond" w:cs="Times New Roman"/>
          <w:noProof/>
          <w:color w:val="000000"/>
          <w:sz w:val="24"/>
          <w:szCs w:val="24"/>
          <w:lang w:eastAsia="lv-LV"/>
        </w:rPr>
        <w:drawing>
          <wp:inline distT="0" distB="0" distL="0" distR="0" wp14:anchorId="40A86654" wp14:editId="43848185">
            <wp:extent cx="5500688" cy="2700338"/>
            <wp:effectExtent l="0" t="0" r="508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4DE1A8" w14:textId="22AA1326" w:rsidR="00C10259" w:rsidRPr="00C10259" w:rsidRDefault="00C10259" w:rsidP="00C10259">
      <w:pPr>
        <w:spacing w:before="120" w:after="120" w:line="240" w:lineRule="auto"/>
        <w:ind w:firstLine="720"/>
        <w:jc w:val="center"/>
        <w:rPr>
          <w:rFonts w:ascii="Times New Roman" w:eastAsia="Calibri" w:hAnsi="Times New Roman" w:cs="Times New Roman"/>
          <w:b/>
          <w:color w:val="000000"/>
          <w:sz w:val="24"/>
          <w:szCs w:val="24"/>
        </w:rPr>
      </w:pPr>
      <w:r w:rsidRPr="00C10259">
        <w:rPr>
          <w:rFonts w:ascii="Times New Roman" w:eastAsia="Calibri" w:hAnsi="Times New Roman" w:cs="Times New Roman"/>
          <w:b/>
          <w:color w:val="000000"/>
          <w:sz w:val="24"/>
          <w:szCs w:val="24"/>
        </w:rPr>
        <w:t>3.3.attēls. Valsts aizsardzības finansēšana, % no IKP</w:t>
      </w:r>
    </w:p>
    <w:p w14:paraId="3F937CA2"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Latvija uzskata, ka papildus paredzētais aizsardzības finansējums ir definējams kā vienreizējais pasākums.</w:t>
      </w:r>
    </w:p>
    <w:p w14:paraId="18211EC2" w14:textId="4E618A44"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Latvija ņem vērā EK vispārējos apsvērumus, ka deficītu palielinošie vienreizējie pasākumi, kā </w:t>
      </w:r>
      <w:r>
        <w:rPr>
          <w:rFonts w:ascii="Times New Roman" w:eastAsia="Calibri" w:hAnsi="Times New Roman" w:cs="Times New Roman"/>
          <w:color w:val="000000"/>
          <w:sz w:val="24"/>
          <w:szCs w:val="24"/>
        </w:rPr>
        <w:t>pamatnosacījums</w:t>
      </w:r>
      <w:r w:rsidRPr="0009609E">
        <w:rPr>
          <w:rFonts w:ascii="Times New Roman" w:eastAsia="Calibri" w:hAnsi="Times New Roman" w:cs="Times New Roman"/>
          <w:color w:val="000000"/>
          <w:sz w:val="24"/>
          <w:szCs w:val="24"/>
        </w:rPr>
        <w:t xml:space="preserve">, netiek atbalstīti, jo </w:t>
      </w:r>
      <w:r w:rsidRPr="00612F17">
        <w:rPr>
          <w:rFonts w:ascii="Times New Roman" w:eastAsia="Calibri" w:hAnsi="Times New Roman" w:cs="Times New Roman"/>
          <w:color w:val="000000"/>
          <w:sz w:val="24"/>
          <w:szCs w:val="24"/>
        </w:rPr>
        <w:t>Padome</w:t>
      </w:r>
      <w:r w:rsidRPr="0009609E">
        <w:rPr>
          <w:rFonts w:ascii="Times New Roman" w:eastAsia="Calibri" w:hAnsi="Times New Roman" w:cs="Times New Roman"/>
          <w:color w:val="000000"/>
          <w:sz w:val="24"/>
          <w:szCs w:val="24"/>
        </w:rPr>
        <w:t xml:space="preserve"> 2005.gadā</w:t>
      </w:r>
      <w:r w:rsidR="00612F17">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lemjot par vienreizējo pasākumu izslēgšanu no strukturālās piepūles aprēķiniem</w:t>
      </w:r>
      <w:r w:rsidR="00612F17">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vēlējās mazināt valstu centienus veikt konsolidācijas pasākumus ar vienreizējiem ieņēmumus palielinošiem pasākumiem un tai nebija nodomu pavērt ceļu vienreizējiem deficītu palielinošiem pasākumiem. Tai pat laikā deficītu palielinošie pasākumi netiek izslēgti </w:t>
      </w:r>
      <w:r w:rsidRPr="0009609E">
        <w:rPr>
          <w:rFonts w:ascii="Times New Roman" w:eastAsia="Calibri" w:hAnsi="Times New Roman" w:cs="Times New Roman"/>
          <w:i/>
          <w:color w:val="000000"/>
          <w:sz w:val="24"/>
          <w:szCs w:val="24"/>
        </w:rPr>
        <w:t>a priori</w:t>
      </w:r>
      <w:r w:rsidRPr="0009609E">
        <w:rPr>
          <w:rFonts w:ascii="Times New Roman" w:eastAsia="Calibri" w:hAnsi="Times New Roman" w:cs="Times New Roman"/>
          <w:color w:val="000000"/>
          <w:sz w:val="24"/>
          <w:szCs w:val="24"/>
        </w:rPr>
        <w:t>. Tas arī nebūtu pareizi, jo strukturālā deficīta parametram būtu jāuztver tikai strukturāli pasākumi un jāatfiltrē vienreizējie pasākumi, ja ir pietiekama pārliecība, ka par vienreizējiem pasākumiem netie</w:t>
      </w:r>
      <w:r w:rsidR="003F7B43">
        <w:rPr>
          <w:rFonts w:ascii="Times New Roman" w:eastAsia="Calibri" w:hAnsi="Times New Roman" w:cs="Times New Roman"/>
          <w:color w:val="000000"/>
          <w:sz w:val="24"/>
          <w:szCs w:val="24"/>
        </w:rPr>
        <w:t>k uzdoti strukturālie pasākumi.</w:t>
      </w:r>
    </w:p>
    <w:p w14:paraId="49A5B77E" w14:textId="33E980CF" w:rsidR="004C7E0F"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Situācijā, kad drošības situācija ir kardināli mainījusies, valsts rīcība, strauji kāpinot aizsardzības spējas</w:t>
      </w:r>
      <w:r w:rsidR="00612F17">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būtu jāuzskata par rīcību, kas no</w:t>
      </w:r>
      <w:r>
        <w:rPr>
          <w:rFonts w:ascii="Times New Roman" w:eastAsia="Calibri" w:hAnsi="Times New Roman" w:cs="Times New Roman"/>
          <w:color w:val="000000"/>
          <w:sz w:val="24"/>
          <w:szCs w:val="24"/>
        </w:rPr>
        <w:t>zīmīguma ziņā nav mazāk svarīga,</w:t>
      </w:r>
      <w:r w:rsidRPr="0009609E">
        <w:rPr>
          <w:rFonts w:ascii="Times New Roman" w:eastAsia="Calibri" w:hAnsi="Times New Roman" w:cs="Times New Roman"/>
          <w:color w:val="000000"/>
          <w:sz w:val="24"/>
          <w:szCs w:val="24"/>
        </w:rPr>
        <w:t xml:space="preserve"> kā centieni ar valsts budžetu glābt finanšu sektoru ekonomiskās krīzes laikā. Sekas bezdarbības gadījumā nebūs mazāk nozīmīgas, kā banku krīzes gadījumā. Tāpēc Latvija uzskata, ka EK pieeja, ar 2008</w:t>
      </w:r>
      <w:r>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/2009</w:t>
      </w:r>
      <w:r>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gadu attiecinot banku glābšanas izdevumus kā vienreizējus deficītu palielinošus pasākumus ir adekvāta rīcība atbilstoši tā laika situācijai un līdzīgi būtu jārīkojas pašlaik, reaģējot uz radikālām izmaiņām drošības situācijā.</w:t>
      </w:r>
    </w:p>
    <w:p w14:paraId="757D2D65" w14:textId="77777777" w:rsidR="004C7E0F" w:rsidRPr="0009609E"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Uzskatām, ka arī tehniskajā līmenī ir būtiski argumenti tam, lai papildus izdevumus aizsardzībai uzskatītu par vienreizējiem pasākumiem.</w:t>
      </w:r>
    </w:p>
    <w:p w14:paraId="5E43669D" w14:textId="77777777" w:rsidR="004C7E0F" w:rsidRPr="0009609E" w:rsidRDefault="004C7E0F" w:rsidP="004C7E0F">
      <w:pPr>
        <w:numPr>
          <w:ilvl w:val="0"/>
          <w:numId w:val="19"/>
        </w:numPr>
        <w:spacing w:after="120" w:line="240" w:lineRule="auto"/>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Papildus izdevumi ir saistīti ar atbildes rīcību iepriekš neprognozētiem notikumiem un atbildes reakciju nevar atlikt.  </w:t>
      </w:r>
    </w:p>
    <w:p w14:paraId="5AC476AA" w14:textId="77777777" w:rsidR="004C7E0F" w:rsidRPr="0009609E" w:rsidRDefault="004C7E0F" w:rsidP="004C7E0F">
      <w:pPr>
        <w:numPr>
          <w:ilvl w:val="0"/>
          <w:numId w:val="19"/>
        </w:numPr>
        <w:spacing w:after="120" w:line="240" w:lineRule="auto"/>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Izdevumiem ir būtiska fiskālā ietekme (</w:t>
      </w:r>
      <w:r w:rsidRPr="00AF71D2">
        <w:rPr>
          <w:rFonts w:ascii="Times New Roman" w:eastAsia="Calibri" w:hAnsi="Times New Roman" w:cs="Times New Roman"/>
          <w:i/>
          <w:color w:val="000000"/>
          <w:sz w:val="24"/>
          <w:szCs w:val="24"/>
        </w:rPr>
        <w:t>major fiscal impact</w:t>
      </w:r>
      <w:r w:rsidRPr="0009609E">
        <w:rPr>
          <w:rFonts w:ascii="Times New Roman" w:eastAsia="Calibri" w:hAnsi="Times New Roman" w:cs="Times New Roman"/>
          <w:color w:val="000000"/>
          <w:sz w:val="24"/>
          <w:szCs w:val="24"/>
        </w:rPr>
        <w:t>). Papildus nepieciešamais finansējums rada nozīmīga fiskālu ietekmi uz valsts budžetu gan katrā konkrētajā gadā, gan arī kumulatīvi 1,45% no IKP nākamajos četros gados.</w:t>
      </w:r>
    </w:p>
    <w:p w14:paraId="3E094B99" w14:textId="543659CD" w:rsidR="004C7E0F" w:rsidRPr="0009609E" w:rsidRDefault="004C7E0F" w:rsidP="004C7E0F">
      <w:pPr>
        <w:numPr>
          <w:ilvl w:val="0"/>
          <w:numId w:val="19"/>
        </w:numPr>
        <w:spacing w:after="120" w:line="240" w:lineRule="auto"/>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Nepastāv risks,  ka vienreizējie izdevumi </w:t>
      </w:r>
      <w:r>
        <w:rPr>
          <w:rFonts w:ascii="Times New Roman" w:eastAsia="Calibri" w:hAnsi="Times New Roman" w:cs="Times New Roman"/>
          <w:color w:val="000000"/>
          <w:sz w:val="24"/>
          <w:szCs w:val="24"/>
        </w:rPr>
        <w:t>kļūs</w:t>
      </w:r>
      <w:r w:rsidRPr="0009609E">
        <w:rPr>
          <w:rFonts w:ascii="Times New Roman" w:eastAsia="Calibri" w:hAnsi="Times New Roman" w:cs="Times New Roman"/>
          <w:color w:val="000000"/>
          <w:sz w:val="24"/>
          <w:szCs w:val="24"/>
        </w:rPr>
        <w:t xml:space="preserve"> par pastāvīgajiem izdevumiem. Tā kā papildu izdevumi pēc definīcijas ir izde</w:t>
      </w:r>
      <w:r w:rsidR="00612F17">
        <w:rPr>
          <w:rFonts w:ascii="Times New Roman" w:eastAsia="Calibri" w:hAnsi="Times New Roman" w:cs="Times New Roman"/>
          <w:color w:val="000000"/>
          <w:sz w:val="24"/>
          <w:szCs w:val="24"/>
        </w:rPr>
        <w:t>vumi, kas pārsniedz Valsts a</w:t>
      </w:r>
      <w:r w:rsidRPr="0009609E">
        <w:rPr>
          <w:rFonts w:ascii="Times New Roman" w:eastAsia="Calibri" w:hAnsi="Times New Roman" w:cs="Times New Roman"/>
          <w:color w:val="000000"/>
          <w:sz w:val="24"/>
          <w:szCs w:val="24"/>
        </w:rPr>
        <w:t>izsardzības finansēšanas li</w:t>
      </w:r>
      <w:r w:rsidR="00612F17">
        <w:rPr>
          <w:rFonts w:ascii="Times New Roman" w:eastAsia="Calibri" w:hAnsi="Times New Roman" w:cs="Times New Roman"/>
          <w:color w:val="000000"/>
          <w:sz w:val="24"/>
          <w:szCs w:val="24"/>
        </w:rPr>
        <w:t>kumā noteiktos izdevumus, 2020.</w:t>
      </w:r>
      <w:r w:rsidRPr="0009609E">
        <w:rPr>
          <w:rFonts w:ascii="Times New Roman" w:eastAsia="Calibri" w:hAnsi="Times New Roman" w:cs="Times New Roman"/>
          <w:color w:val="000000"/>
          <w:sz w:val="24"/>
          <w:szCs w:val="24"/>
        </w:rPr>
        <w:t xml:space="preserve">gadā un visos turpmākajos gados izdevumu pieaugums būs nulle, neatkarīgi no tā, cik precīzi valsts ievēros </w:t>
      </w:r>
      <w:r w:rsidR="00612F17">
        <w:rPr>
          <w:rFonts w:ascii="Times New Roman" w:eastAsia="Calibri" w:hAnsi="Times New Roman" w:cs="Times New Roman"/>
          <w:color w:val="000000"/>
          <w:sz w:val="24"/>
          <w:szCs w:val="24"/>
        </w:rPr>
        <w:t>Valsts a</w:t>
      </w:r>
      <w:r w:rsidRPr="0009609E">
        <w:rPr>
          <w:rFonts w:ascii="Times New Roman" w:eastAsia="Calibri" w:hAnsi="Times New Roman" w:cs="Times New Roman"/>
          <w:color w:val="000000"/>
          <w:sz w:val="24"/>
          <w:szCs w:val="24"/>
        </w:rPr>
        <w:t>izsardzības finansēšanas likumā noteiktos izdevumu nosacījumus.</w:t>
      </w:r>
    </w:p>
    <w:p w14:paraId="05A5FF62" w14:textId="77777777" w:rsidR="004C7E0F" w:rsidRPr="0009609E" w:rsidRDefault="004C7E0F" w:rsidP="004C7E0F">
      <w:pPr>
        <w:numPr>
          <w:ilvl w:val="0"/>
          <w:numId w:val="19"/>
        </w:numPr>
        <w:spacing w:after="120" w:line="240" w:lineRule="auto"/>
        <w:jc w:val="both"/>
        <w:rPr>
          <w:rFonts w:ascii="Times New Roman" w:eastAsia="Calibri" w:hAnsi="Times New Roman" w:cs="Times New Roman"/>
          <w:color w:val="000000"/>
          <w:sz w:val="24"/>
          <w:szCs w:val="24"/>
        </w:rPr>
      </w:pPr>
      <w:r w:rsidRPr="0009609E">
        <w:rPr>
          <w:rFonts w:ascii="Garamond" w:eastAsia="Times New Roman" w:hAnsi="Garamond" w:cs="Times New Roman"/>
          <w:noProof/>
          <w:sz w:val="24"/>
          <w:szCs w:val="20"/>
          <w:lang w:eastAsia="lv-LV"/>
        </w:rPr>
        <w:drawing>
          <wp:anchor distT="0" distB="0" distL="114300" distR="114300" simplePos="0" relativeHeight="251674624" behindDoc="0" locked="0" layoutInCell="1" allowOverlap="1" wp14:anchorId="4C42FB10" wp14:editId="1FD17215">
            <wp:simplePos x="0" y="0"/>
            <wp:positionH relativeFrom="column">
              <wp:posOffset>310515</wp:posOffset>
            </wp:positionH>
            <wp:positionV relativeFrom="paragraph">
              <wp:posOffset>1010285</wp:posOffset>
            </wp:positionV>
            <wp:extent cx="5181600" cy="2066925"/>
            <wp:effectExtent l="0" t="0" r="0" b="9525"/>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09609E">
        <w:rPr>
          <w:rFonts w:ascii="Times New Roman" w:eastAsia="Calibri" w:hAnsi="Times New Roman" w:cs="Times New Roman"/>
          <w:color w:val="000000"/>
          <w:sz w:val="24"/>
          <w:szCs w:val="24"/>
        </w:rPr>
        <w:t>Izdevumi attiecas uz īsu laika periodu. Lai arī izdevumu periods ir 4 gadi un</w:t>
      </w:r>
      <w:r>
        <w:rPr>
          <w:rFonts w:ascii="Times New Roman" w:eastAsia="Calibri" w:hAnsi="Times New Roman" w:cs="Times New Roman"/>
          <w:color w:val="000000"/>
          <w:sz w:val="24"/>
          <w:szCs w:val="24"/>
        </w:rPr>
        <w:t xml:space="preserve"> tādejādi pārsniedz EK noteikto</w:t>
      </w:r>
      <w:r w:rsidRPr="0009609E">
        <w:rPr>
          <w:rFonts w:ascii="Times New Roman" w:eastAsia="Calibri" w:hAnsi="Times New Roman" w:cs="Times New Roman"/>
          <w:color w:val="000000"/>
          <w:sz w:val="24"/>
          <w:szCs w:val="24"/>
        </w:rPr>
        <w:t xml:space="preserve"> 3 gadu maksimālo periodu, tomēr gadu skaits nav noteikts SIP regulās, ne </w:t>
      </w:r>
      <w:r w:rsidRPr="00612F17">
        <w:rPr>
          <w:rFonts w:ascii="Times New Roman" w:eastAsia="Calibri" w:hAnsi="Times New Roman" w:cs="Times New Roman"/>
          <w:color w:val="000000"/>
          <w:sz w:val="24"/>
          <w:szCs w:val="24"/>
        </w:rPr>
        <w:t>arī Padomes apstiprinātajos</w:t>
      </w:r>
      <w:r w:rsidRPr="0009609E">
        <w:rPr>
          <w:rFonts w:ascii="Times New Roman" w:eastAsia="Calibri" w:hAnsi="Times New Roman" w:cs="Times New Roman"/>
          <w:color w:val="000000"/>
          <w:sz w:val="24"/>
          <w:szCs w:val="24"/>
        </w:rPr>
        <w:t xml:space="preserve"> dokumentos, līdz ar to atbilstība īstermiņa kritērijam būtu jāvērtē individuāli, ņemot vērā pasākuma būtību. Jāatzīmē arī, ka 2019.gadā vienreizējā pasākuma lielums ir būtiski mazāks kā iepriekšējos gados.       </w:t>
      </w:r>
    </w:p>
    <w:p w14:paraId="06F0A493" w14:textId="3CE06901" w:rsidR="0009609E" w:rsidRPr="00C10259" w:rsidRDefault="00C10259" w:rsidP="00C10259">
      <w:pPr>
        <w:spacing w:before="240" w:after="120" w:line="240" w:lineRule="auto"/>
        <w:jc w:val="center"/>
        <w:rPr>
          <w:rFonts w:ascii="Times New Roman" w:eastAsia="Calibri" w:hAnsi="Times New Roman" w:cs="Times New Roman"/>
          <w:b/>
          <w:color w:val="000000"/>
          <w:sz w:val="24"/>
          <w:szCs w:val="24"/>
        </w:rPr>
      </w:pPr>
      <w:r w:rsidRPr="00C10259">
        <w:rPr>
          <w:rFonts w:ascii="Times New Roman" w:eastAsia="Calibri" w:hAnsi="Times New Roman" w:cs="Times New Roman"/>
          <w:b/>
          <w:color w:val="000000"/>
          <w:sz w:val="24"/>
          <w:szCs w:val="24"/>
        </w:rPr>
        <w:t>3.4.attēls. Vienreizējais pasākums, % no IKP</w:t>
      </w:r>
    </w:p>
    <w:p w14:paraId="1CB75B12" w14:textId="2C9FA301" w:rsidR="004C7E0F" w:rsidRPr="0057255A" w:rsidRDefault="004C7E0F" w:rsidP="00F05D16">
      <w:pPr>
        <w:spacing w:before="480" w:after="120" w:line="240" w:lineRule="auto"/>
        <w:ind w:firstLine="720"/>
        <w:jc w:val="both"/>
        <w:rPr>
          <w:rFonts w:ascii="Times New Roman" w:eastAsia="Calibri" w:hAnsi="Times New Roman" w:cs="Times New Roman"/>
          <w:b/>
          <w:color w:val="000000"/>
          <w:sz w:val="24"/>
          <w:szCs w:val="24"/>
        </w:rPr>
      </w:pPr>
      <w:r w:rsidRPr="0057255A">
        <w:rPr>
          <w:rFonts w:ascii="Times New Roman" w:eastAsia="Calibri" w:hAnsi="Times New Roman" w:cs="Times New Roman"/>
          <w:b/>
          <w:color w:val="000000"/>
          <w:sz w:val="24"/>
          <w:szCs w:val="24"/>
        </w:rPr>
        <w:t>Fiskālās politikas mērķi un galvenie pasākumi</w:t>
      </w:r>
    </w:p>
    <w:p w14:paraId="412D71B8" w14:textId="709BC81F" w:rsidR="004C7E0F" w:rsidRPr="0009609E" w:rsidRDefault="004C7E0F" w:rsidP="004C7E0F">
      <w:pPr>
        <w:spacing w:after="60" w:line="240" w:lineRule="auto"/>
        <w:ind w:firstLine="720"/>
        <w:jc w:val="both"/>
        <w:rPr>
          <w:rFonts w:ascii="Times New Roman" w:eastAsia="Calibri" w:hAnsi="Times New Roman" w:cs="Times New Roman"/>
          <w:sz w:val="24"/>
          <w:szCs w:val="24"/>
        </w:rPr>
      </w:pPr>
      <w:r w:rsidRPr="0009609E">
        <w:rPr>
          <w:rFonts w:ascii="Times New Roman" w:eastAsia="Calibri" w:hAnsi="Times New Roman" w:cs="Times New Roman"/>
          <w:sz w:val="24"/>
          <w:szCs w:val="20"/>
        </w:rPr>
        <w:t xml:space="preserve">Latvijas fiskālās politikas vispārējais mērķis netiek mainīts un arī 2016.-2018.gadā ir </w:t>
      </w:r>
      <w:r w:rsidRPr="0009609E">
        <w:rPr>
          <w:rFonts w:ascii="Times New Roman" w:eastAsia="Calibri" w:hAnsi="Times New Roman" w:cs="Times New Roman"/>
          <w:sz w:val="24"/>
          <w:szCs w:val="24"/>
          <w:u w:val="single"/>
        </w:rPr>
        <w:t>ilgtspējīgi kāpināt iedzīvotāju dzīves kvalitāti</w:t>
      </w:r>
      <w:r w:rsidR="003F7B43">
        <w:rPr>
          <w:rFonts w:ascii="Times New Roman" w:eastAsia="Calibri" w:hAnsi="Times New Roman" w:cs="Times New Roman"/>
          <w:sz w:val="24"/>
          <w:szCs w:val="24"/>
        </w:rPr>
        <w:t>.</w:t>
      </w:r>
    </w:p>
    <w:p w14:paraId="077071D2" w14:textId="2D805F61" w:rsidR="004C7E0F" w:rsidRPr="0009609E" w:rsidRDefault="004C7E0F" w:rsidP="004C7E0F">
      <w:pPr>
        <w:spacing w:after="60" w:line="240" w:lineRule="auto"/>
        <w:ind w:firstLine="72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Dzīves kvalitāte ietver gan iedzīvotāju labklājību, medicīnas pakalpojumu pieejamību, dabas vidi, attīstītu infrastruktūru un kultūru, gan pārmērīgas iedzīvotāju ienākumu nevienlīdzības novēršanu. Būtiski ir nodrošināt, ka valstī būs apstākļi dzīves kvalitātes uzlabošanai ne tikai šobrīd, bet arī turpmāk. Tāpēc fiskālās politikas mērķī akcents ir likts uz ilgtspēju. Ilgtspējīga dzīves kvalitātes kāpināšana nozīmē, ka publiskie finanšu resursi tiek novirzīti ne tikai pašreizējiem dzīvas kvalitātes uzlabošanas pasākumiem, bet publiskie resursi 2015.-2017.gadā tiek plānoti un sadalīti tā, lai tiktu nodrošināti apstākļi, ka valsts varēs dzīves kvalitāti kāpināt ilgtermiņā. To var panākt, pirmkārt, atsakoties no pašreizējo izdevumu segšanas uz nākamo paaudžu rēķina jeb atsakoties no publisko izdevumu palielināšanas uz deficīta rēķina, otrkārt, novirzot publiskos resursus labvēlīgas vides ve</w:t>
      </w:r>
      <w:r w:rsidR="003F7B43">
        <w:rPr>
          <w:rFonts w:ascii="Times New Roman" w:eastAsia="Calibri" w:hAnsi="Times New Roman" w:cs="Times New Roman"/>
          <w:sz w:val="24"/>
          <w:szCs w:val="24"/>
        </w:rPr>
        <w:t>idošanai ekonomikas attīstībai.</w:t>
      </w:r>
    </w:p>
    <w:p w14:paraId="7FCB2DD2" w14:textId="5E18FB21" w:rsidR="004C7E0F" w:rsidRPr="0009609E" w:rsidRDefault="004C7E0F" w:rsidP="004C7E0F">
      <w:pPr>
        <w:spacing w:after="60" w:line="240" w:lineRule="auto"/>
        <w:ind w:firstLine="72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Tomēr šajā trīs gadu periodā ir nācis klāt jauns izaicinājums – karadarbība Ukrainā un pastiprinātā Krievijas militārā klātbūtne pie Latvijas robežām</w:t>
      </w:r>
      <w:r>
        <w:rPr>
          <w:rFonts w:ascii="Times New Roman" w:eastAsia="Calibri" w:hAnsi="Times New Roman" w:cs="Times New Roman"/>
          <w:sz w:val="24"/>
          <w:szCs w:val="24"/>
        </w:rPr>
        <w:t>, kas</w:t>
      </w:r>
      <w:r w:rsidRPr="0009609E">
        <w:rPr>
          <w:rFonts w:ascii="Times New Roman" w:eastAsia="Calibri" w:hAnsi="Times New Roman" w:cs="Times New Roman"/>
          <w:sz w:val="24"/>
          <w:szCs w:val="24"/>
        </w:rPr>
        <w:t xml:space="preserve"> liek citā gaismā raudzīties uz valsts drošības jautājumiem. Nepiecieša</w:t>
      </w:r>
      <w:r w:rsidR="00612F17">
        <w:rPr>
          <w:rFonts w:ascii="Times New Roman" w:eastAsia="Calibri" w:hAnsi="Times New Roman" w:cs="Times New Roman"/>
          <w:sz w:val="24"/>
          <w:szCs w:val="24"/>
        </w:rPr>
        <w:t>mība nodrošināties pret riskiem</w:t>
      </w:r>
      <w:r w:rsidRPr="0009609E">
        <w:rPr>
          <w:rFonts w:ascii="Times New Roman" w:eastAsia="Calibri" w:hAnsi="Times New Roman" w:cs="Times New Roman"/>
          <w:sz w:val="24"/>
          <w:szCs w:val="24"/>
        </w:rPr>
        <w:t xml:space="preserve"> valsts kontinuitātei prasa ātru un būtisku finansējuma pieaugumu valsts aizsardzībai, ko nav iespējams nodrošināt ar prognozēto nodokļu ieņēmumu pieaugumu. Šajā situācijā ir attaisnojams, ka valsts aizsardzības spēju vārdā esošā paaudze rīkojas izšķirīgi un veic izdevumus, kas tiek fina</w:t>
      </w:r>
      <w:r w:rsidR="003F7B43">
        <w:rPr>
          <w:rFonts w:ascii="Times New Roman" w:eastAsia="Calibri" w:hAnsi="Times New Roman" w:cs="Times New Roman"/>
          <w:sz w:val="24"/>
          <w:szCs w:val="24"/>
        </w:rPr>
        <w:t>nsēti uz nākamo paaudžu rēķina.</w:t>
      </w:r>
    </w:p>
    <w:p w14:paraId="30A9DBC2" w14:textId="77777777" w:rsidR="004C7E0F" w:rsidRPr="0009609E" w:rsidRDefault="004C7E0F" w:rsidP="004C7E0F">
      <w:pPr>
        <w:spacing w:after="60" w:line="240" w:lineRule="auto"/>
        <w:ind w:firstLine="72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No augstāk minētā izriet Latvijas fiskālās politikas specifiskie mērķi 2016. – 2018.gadā:</w:t>
      </w:r>
    </w:p>
    <w:p w14:paraId="7F606EB9" w14:textId="77777777" w:rsidR="004C7E0F" w:rsidRPr="0009609E" w:rsidRDefault="004C7E0F" w:rsidP="004C7E0F">
      <w:pPr>
        <w:numPr>
          <w:ilvl w:val="0"/>
          <w:numId w:val="42"/>
        </w:numPr>
        <w:spacing w:after="60" w:line="240" w:lineRule="auto"/>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Nodrošināt atbildīgu un ilgtspējīgu fiskālo politiku, ievērojot fiskālo disciplīnu;</w:t>
      </w:r>
    </w:p>
    <w:p w14:paraId="3184B9D3" w14:textId="77777777" w:rsidR="004C7E0F" w:rsidRPr="0009609E" w:rsidRDefault="004C7E0F" w:rsidP="004C7E0F">
      <w:pPr>
        <w:numPr>
          <w:ilvl w:val="0"/>
          <w:numId w:val="42"/>
        </w:numPr>
        <w:spacing w:after="60" w:line="240" w:lineRule="auto"/>
        <w:ind w:left="1134" w:firstLine="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Kāpināt iedzīvotāju dzīves kvalitāti.</w:t>
      </w:r>
    </w:p>
    <w:p w14:paraId="4BD9AEFD" w14:textId="77777777" w:rsidR="004C7E0F" w:rsidRPr="0009609E" w:rsidRDefault="004C7E0F" w:rsidP="004C7E0F">
      <w:pPr>
        <w:numPr>
          <w:ilvl w:val="0"/>
          <w:numId w:val="42"/>
        </w:numPr>
        <w:spacing w:after="60" w:line="240" w:lineRule="auto"/>
        <w:ind w:left="1134" w:firstLine="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Nodrošināt labvēlīgu vidi ekonomikas attīstībai.</w:t>
      </w:r>
    </w:p>
    <w:p w14:paraId="791B09DB" w14:textId="619EE072" w:rsidR="004C7E0F" w:rsidRPr="0009609E" w:rsidRDefault="004C7E0F" w:rsidP="004C7E0F">
      <w:pPr>
        <w:numPr>
          <w:ilvl w:val="0"/>
          <w:numId w:val="42"/>
        </w:numPr>
        <w:spacing w:after="60" w:line="240" w:lineRule="auto"/>
        <w:ind w:left="1134" w:firstLine="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Nodrošināt ģeo</w:t>
      </w:r>
      <w:r w:rsidR="003F7B43">
        <w:rPr>
          <w:rFonts w:ascii="Times New Roman" w:eastAsia="Calibri" w:hAnsi="Times New Roman" w:cs="Times New Roman"/>
          <w:sz w:val="24"/>
          <w:szCs w:val="24"/>
        </w:rPr>
        <w:t xml:space="preserve">politiskajiem riskiem adekvātu </w:t>
      </w:r>
      <w:r w:rsidRPr="0009609E">
        <w:rPr>
          <w:rFonts w:ascii="Times New Roman" w:eastAsia="Calibri" w:hAnsi="Times New Roman" w:cs="Times New Roman"/>
          <w:sz w:val="24"/>
          <w:szCs w:val="24"/>
        </w:rPr>
        <w:t>valsts aizsardzības kapacitāti.</w:t>
      </w:r>
    </w:p>
    <w:p w14:paraId="1D56109F" w14:textId="746D6AA2" w:rsidR="004C7E0F" w:rsidRPr="0009609E" w:rsidRDefault="004C7E0F" w:rsidP="004C7E0F">
      <w:pPr>
        <w:spacing w:after="60" w:line="240" w:lineRule="auto"/>
        <w:ind w:firstLine="72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 xml:space="preserve">Latvijas fiskālās politikas vispārējais mērķis un specifiskie mērķi ir tieši saistīti ar NAP </w:t>
      </w:r>
      <w:r w:rsidR="00612F17">
        <w:rPr>
          <w:rFonts w:ascii="Times New Roman" w:eastAsia="Calibri" w:hAnsi="Times New Roman" w:cs="Times New Roman"/>
          <w:sz w:val="24"/>
          <w:szCs w:val="24"/>
        </w:rPr>
        <w:t>2020</w:t>
      </w:r>
      <w:r w:rsidRPr="0009609E">
        <w:rPr>
          <w:rFonts w:ascii="Times New Roman" w:eastAsia="Calibri" w:hAnsi="Times New Roman" w:cs="Times New Roman"/>
          <w:sz w:val="24"/>
          <w:szCs w:val="24"/>
        </w:rPr>
        <w:t xml:space="preserve"> un rada  nepieciešamos fiskālos apstākļus, lai īstenotu dzīvē NAP 2020 redzējumu</w:t>
      </w:r>
      <w:r w:rsidRPr="0009609E">
        <w:rPr>
          <w:rFonts w:ascii="Times New Roman" w:eastAsia="Calibri" w:hAnsi="Times New Roman" w:cs="Times New Roman"/>
          <w:sz w:val="24"/>
          <w:szCs w:val="24"/>
          <w:vertAlign w:val="superscript"/>
        </w:rPr>
        <w:footnoteReference w:id="8"/>
      </w:r>
      <w:r w:rsidRPr="0009609E">
        <w:rPr>
          <w:rFonts w:ascii="Times New Roman" w:eastAsia="Calibri" w:hAnsi="Times New Roman" w:cs="Times New Roman"/>
          <w:sz w:val="24"/>
          <w:szCs w:val="24"/>
        </w:rPr>
        <w:t>:</w:t>
      </w:r>
    </w:p>
    <w:p w14:paraId="09C85332" w14:textId="77777777" w:rsidR="004C7E0F" w:rsidRPr="0009609E" w:rsidRDefault="004C7E0F" w:rsidP="004C7E0F">
      <w:pPr>
        <w:spacing w:after="60" w:line="240" w:lineRule="auto"/>
        <w:ind w:firstLine="720"/>
        <w:jc w:val="both"/>
        <w:rPr>
          <w:rFonts w:ascii="Times New Roman" w:eastAsia="Calibri" w:hAnsi="Times New Roman" w:cs="Times New Roman"/>
          <w:sz w:val="24"/>
          <w:szCs w:val="24"/>
        </w:rPr>
      </w:pPr>
      <w:r w:rsidRPr="0009609E">
        <w:rPr>
          <w:rFonts w:ascii="Times New Roman" w:eastAsia="Calibri" w:hAnsi="Times New Roman" w:cs="Times New Roman"/>
          <w:i/>
          <w:sz w:val="24"/>
          <w:szCs w:val="24"/>
        </w:rPr>
        <w:t>„Latvijas valsts ir dibināta latviešu tautas pašnoteikšanās tiesību īstenošanai. Latvija ir atvērta un draudzīga visu tautību iedzīvotājiem, kas pieņem Latvijas pastāvēšanas jēgu – latviešu tautas, tās valodas un kultūras attīstību savā zemē. Latvija 2020.gadā būs latviska un pašapzinīga, droša un iedzīvotājiem draudzīga, zaļa un sakopta, pārtikusi, efektīva un konkurētspējīga valsts, kurā dzīvo čakli, izglītoti, radoši, veseli un laimīgi cilvēki.”</w:t>
      </w:r>
    </w:p>
    <w:p w14:paraId="652C57D0" w14:textId="7B6B34DF" w:rsidR="004C7E0F" w:rsidRPr="0009609E" w:rsidRDefault="004C7E0F" w:rsidP="004C7E0F">
      <w:pPr>
        <w:spacing w:after="60" w:line="240" w:lineRule="auto"/>
        <w:ind w:firstLine="72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 xml:space="preserve">Lai īstenotu </w:t>
      </w:r>
      <w:r w:rsidRPr="0009609E">
        <w:rPr>
          <w:rFonts w:ascii="Times New Roman" w:eastAsia="Calibri" w:hAnsi="Times New Roman" w:cs="Times New Roman"/>
          <w:b/>
          <w:sz w:val="24"/>
          <w:szCs w:val="24"/>
        </w:rPr>
        <w:t>pirmo fiskālās politikas specifisko mērķi</w:t>
      </w:r>
      <w:r w:rsidRPr="0009609E">
        <w:rPr>
          <w:rFonts w:ascii="Times New Roman" w:eastAsia="Calibri" w:hAnsi="Times New Roman" w:cs="Times New Roman"/>
          <w:sz w:val="24"/>
          <w:szCs w:val="24"/>
        </w:rPr>
        <w:t>, ir izveidots tiesiskais ietvars (</w:t>
      </w:r>
      <w:r>
        <w:rPr>
          <w:rFonts w:ascii="Times New Roman" w:eastAsia="Calibri" w:hAnsi="Times New Roman" w:cs="Times New Roman"/>
          <w:sz w:val="24"/>
          <w:szCs w:val="24"/>
        </w:rPr>
        <w:t>FDL) un institūcijas (</w:t>
      </w:r>
      <w:r w:rsidRPr="0009609E">
        <w:rPr>
          <w:rFonts w:ascii="Times New Roman" w:eastAsia="Calibri" w:hAnsi="Times New Roman" w:cs="Times New Roman"/>
          <w:sz w:val="24"/>
          <w:szCs w:val="24"/>
        </w:rPr>
        <w:t>Fiskālās disciplīnas padome). 2016</w:t>
      </w:r>
      <w:r>
        <w:rPr>
          <w:rFonts w:ascii="Times New Roman" w:eastAsia="Calibri" w:hAnsi="Times New Roman" w:cs="Times New Roman"/>
          <w:sz w:val="24"/>
          <w:szCs w:val="24"/>
        </w:rPr>
        <w:t>.</w:t>
      </w:r>
      <w:r w:rsidRPr="0009609E">
        <w:rPr>
          <w:rFonts w:ascii="Times New Roman" w:eastAsia="Calibri" w:hAnsi="Times New Roman" w:cs="Times New Roman"/>
          <w:sz w:val="24"/>
          <w:szCs w:val="24"/>
        </w:rPr>
        <w:t>-2018</w:t>
      </w:r>
      <w:r>
        <w:rPr>
          <w:rFonts w:ascii="Times New Roman" w:eastAsia="Calibri" w:hAnsi="Times New Roman" w:cs="Times New Roman"/>
          <w:sz w:val="24"/>
          <w:szCs w:val="24"/>
        </w:rPr>
        <w:t>.</w:t>
      </w:r>
      <w:r w:rsidRPr="0009609E">
        <w:rPr>
          <w:rFonts w:ascii="Times New Roman" w:eastAsia="Calibri" w:hAnsi="Times New Roman" w:cs="Times New Roman"/>
          <w:sz w:val="24"/>
          <w:szCs w:val="24"/>
        </w:rPr>
        <w:t>gadu periodā izmaiņa</w:t>
      </w:r>
      <w:r>
        <w:rPr>
          <w:rFonts w:ascii="Times New Roman" w:eastAsia="Calibri" w:hAnsi="Times New Roman" w:cs="Times New Roman"/>
          <w:sz w:val="24"/>
          <w:szCs w:val="24"/>
        </w:rPr>
        <w:t>s</w:t>
      </w:r>
      <w:r w:rsidRPr="0009609E">
        <w:rPr>
          <w:rFonts w:ascii="Times New Roman" w:eastAsia="Calibri" w:hAnsi="Times New Roman" w:cs="Times New Roman"/>
          <w:sz w:val="24"/>
          <w:szCs w:val="24"/>
        </w:rPr>
        <w:t xml:space="preserve"> netiek plānotas un šajā laikā ir būtiski nodrošināt ieviešanu. </w:t>
      </w:r>
    </w:p>
    <w:p w14:paraId="7131BEAB" w14:textId="77777777" w:rsidR="004C7E0F" w:rsidRPr="0009609E" w:rsidRDefault="004C7E0F" w:rsidP="004C7E0F">
      <w:pPr>
        <w:spacing w:after="60" w:line="240" w:lineRule="auto"/>
        <w:ind w:firstLine="720"/>
        <w:jc w:val="both"/>
        <w:rPr>
          <w:rFonts w:ascii="Times New Roman" w:eastAsia="Calibri" w:hAnsi="Times New Roman" w:cs="Times New Roman"/>
          <w:sz w:val="24"/>
          <w:szCs w:val="20"/>
        </w:rPr>
      </w:pPr>
      <w:r w:rsidRPr="0009609E">
        <w:rPr>
          <w:rFonts w:ascii="Times New Roman" w:eastAsia="Calibri" w:hAnsi="Times New Roman" w:cs="Times New Roman"/>
          <w:sz w:val="24"/>
          <w:szCs w:val="20"/>
        </w:rPr>
        <w:t xml:space="preserve">Attiecībā uz </w:t>
      </w:r>
      <w:r w:rsidRPr="0009609E">
        <w:rPr>
          <w:rFonts w:ascii="Times New Roman" w:eastAsia="Calibri" w:hAnsi="Times New Roman" w:cs="Times New Roman"/>
          <w:b/>
          <w:sz w:val="24"/>
          <w:szCs w:val="24"/>
        </w:rPr>
        <w:t>otro fiskālās politikas specifisko mērķi</w:t>
      </w:r>
      <w:r w:rsidRPr="0009609E">
        <w:rPr>
          <w:rFonts w:ascii="Times New Roman" w:eastAsia="Calibri" w:hAnsi="Times New Roman" w:cs="Times New Roman"/>
          <w:sz w:val="24"/>
          <w:szCs w:val="20"/>
        </w:rPr>
        <w:t xml:space="preserve">, pašlaik pastāv vai tuvākajos gados radīsies vairāki apstākļi, kas būtiski var kavēt augstāk minētā mērķa sasniegšanu.   </w:t>
      </w:r>
    </w:p>
    <w:p w14:paraId="1C6CACD8" w14:textId="77777777" w:rsidR="004C7E0F" w:rsidRPr="0009609E" w:rsidRDefault="004C7E0F" w:rsidP="004C7E0F">
      <w:pPr>
        <w:spacing w:after="60" w:line="240" w:lineRule="auto"/>
        <w:ind w:firstLine="720"/>
        <w:jc w:val="both"/>
        <w:rPr>
          <w:rFonts w:ascii="Times New Roman" w:eastAsia="Calibri" w:hAnsi="Times New Roman" w:cs="Times New Roman"/>
          <w:sz w:val="24"/>
          <w:szCs w:val="20"/>
        </w:rPr>
      </w:pPr>
      <w:r w:rsidRPr="0009609E">
        <w:rPr>
          <w:rFonts w:ascii="Times New Roman" w:eastAsia="Calibri" w:hAnsi="Times New Roman" w:cs="Times New Roman"/>
          <w:sz w:val="24"/>
          <w:szCs w:val="20"/>
        </w:rPr>
        <w:t>Iedzīvotāju dzīves kvalitātes aspektā ir pamats analizēt vidējo iedzīvotāju dzīves kvalitāti un dzīves kvalitātes atšķirības iedzīvotājiem ar atšķirīgu ieņēmumu lielumu. Būtisks rādītājs, vērtējot vidējo dzīves kvalitāti, ir IKP apjoms uz vienu iedzīvotāju, kas Latvijai ir viens no zemākajiem ES, savukārt, Džinī koeficients, kas raksturo ieņēmumu nevienlīdzību, Latvijā ir viens no augstākajiem ES.</w:t>
      </w:r>
    </w:p>
    <w:p w14:paraId="102FA4BA" w14:textId="04E1A992" w:rsidR="004C7E0F" w:rsidRPr="0009609E" w:rsidRDefault="004C7E0F" w:rsidP="004C7E0F">
      <w:pPr>
        <w:spacing w:after="60" w:line="240" w:lineRule="auto"/>
        <w:ind w:firstLine="720"/>
        <w:jc w:val="both"/>
        <w:rPr>
          <w:rFonts w:ascii="Times New Roman" w:eastAsia="Calibri" w:hAnsi="Times New Roman" w:cs="Times New Roman"/>
          <w:sz w:val="24"/>
          <w:szCs w:val="20"/>
        </w:rPr>
      </w:pPr>
      <w:r w:rsidRPr="0009609E">
        <w:rPr>
          <w:rFonts w:ascii="Times New Roman" w:eastAsia="Calibri" w:hAnsi="Times New Roman" w:cs="Times New Roman"/>
          <w:sz w:val="24"/>
          <w:szCs w:val="20"/>
        </w:rPr>
        <w:t xml:space="preserve">Jau likumā „Par vidēja termiņa budžeta ietvaru 2014., 2015. un 2016.gadam” tika iestrādāti vairāki būtiski pasākumi iedzīvotāju ienākumu nevienlīdzības mazināšanai, kas paredzēja IIN neapliekamā minimuma palielināšanu, IIN atvieglojumu palielināšanu par apgādībā esošajām personām, valsts sociālā atbalsta sistēmas pilnveidošanu, kā arī paredzot, ka daļa no ieņēmumiem no </w:t>
      </w:r>
      <w:r w:rsidR="003F7B43">
        <w:rPr>
          <w:rFonts w:ascii="Times New Roman" w:eastAsia="Calibri" w:hAnsi="Times New Roman" w:cs="Times New Roman"/>
          <w:sz w:val="24"/>
          <w:szCs w:val="20"/>
        </w:rPr>
        <w:t>s</w:t>
      </w:r>
      <w:r w:rsidRPr="0009609E">
        <w:rPr>
          <w:rFonts w:ascii="Times New Roman" w:eastAsia="Calibri" w:hAnsi="Times New Roman" w:cs="Times New Roman"/>
          <w:sz w:val="24"/>
          <w:szCs w:val="20"/>
        </w:rPr>
        <w:t xml:space="preserve">ubsidētās enerģijas nodokļa tiks novirzīti mājsaimniecībām ar zemiem ienākumiem, lai kompensētu izdevumu kāpumu elektroenerģijai sakarā ar starta tarifa atcelšanu elektroenerģijas tirgus atvēršanas dēļ. Papildus iepriekš īstenotajai valdības politikai likumā „Par vidēja termiņa budžeta ietvaru 2015., 2016. un 2017.gadam” tika iekļauti papildus pasākumi, lai turpinātu līdz šim uzsākto politikas kursu attiecībā uz ienākumu nevienlīdzības izlīdzināšanu - no 2015.gada sociālās un ienākumu nevienlīdzības mazināšanai </w:t>
      </w:r>
      <w:r w:rsidR="00963696">
        <w:rPr>
          <w:rFonts w:ascii="Times New Roman" w:eastAsia="Calibri" w:hAnsi="Times New Roman" w:cs="Times New Roman"/>
          <w:sz w:val="24"/>
          <w:szCs w:val="20"/>
        </w:rPr>
        <w:t>tika</w:t>
      </w:r>
      <w:r w:rsidRPr="0009609E">
        <w:rPr>
          <w:rFonts w:ascii="Times New Roman" w:eastAsia="Calibri" w:hAnsi="Times New Roman" w:cs="Times New Roman"/>
          <w:sz w:val="24"/>
          <w:szCs w:val="20"/>
        </w:rPr>
        <w:t xml:space="preserve"> palielināt</w:t>
      </w:r>
      <w:r w:rsidR="00963696">
        <w:rPr>
          <w:rFonts w:ascii="Times New Roman" w:eastAsia="Calibri" w:hAnsi="Times New Roman" w:cs="Times New Roman"/>
          <w:sz w:val="24"/>
          <w:szCs w:val="20"/>
        </w:rPr>
        <w:t>a minimālā alga</w:t>
      </w:r>
      <w:r w:rsidRPr="0009609E">
        <w:rPr>
          <w:rFonts w:ascii="Times New Roman" w:eastAsia="Calibri" w:hAnsi="Times New Roman" w:cs="Times New Roman"/>
          <w:sz w:val="24"/>
          <w:szCs w:val="20"/>
        </w:rPr>
        <w:t xml:space="preserve"> no 320 uz 360 </w:t>
      </w:r>
      <w:r w:rsidRPr="0009609E">
        <w:rPr>
          <w:rFonts w:ascii="Times New Roman" w:eastAsia="Calibri" w:hAnsi="Times New Roman" w:cs="Times New Roman"/>
          <w:i/>
          <w:sz w:val="24"/>
          <w:szCs w:val="20"/>
        </w:rPr>
        <w:t>euro</w:t>
      </w:r>
      <w:r w:rsidRPr="0009609E">
        <w:rPr>
          <w:rFonts w:ascii="Times New Roman" w:eastAsia="Calibri" w:hAnsi="Times New Roman" w:cs="Times New Roman"/>
          <w:sz w:val="24"/>
          <w:szCs w:val="20"/>
        </w:rPr>
        <w:t>, ar mērķi to pakāpeniski paaugstināt līdz pusei no vidējā atalgojuma tautsaimniecībā, kā arī ar 2016.gadu ieviest progresīvo IIN neapliekamo minimumu, paaugstinot to mazo algu saņēmējiem, vidējo algu saņēmējiem saglabājot tuvu esošajam apmēram, savukārt algām, kas būtiski pārsniedz vidējo algu valstī, to nepiemērojot.</w:t>
      </w:r>
    </w:p>
    <w:p w14:paraId="0ECF2746" w14:textId="77777777" w:rsidR="004C7E0F" w:rsidRPr="0009609E" w:rsidRDefault="004C7E0F" w:rsidP="004C7E0F">
      <w:pPr>
        <w:spacing w:after="60" w:line="240" w:lineRule="auto"/>
        <w:ind w:firstLine="720"/>
        <w:jc w:val="both"/>
        <w:rPr>
          <w:rFonts w:ascii="Times New Roman" w:eastAsia="Calibri" w:hAnsi="Times New Roman" w:cs="Times New Roman"/>
          <w:sz w:val="24"/>
          <w:szCs w:val="20"/>
        </w:rPr>
      </w:pPr>
      <w:r w:rsidRPr="0009609E">
        <w:rPr>
          <w:rFonts w:ascii="Times New Roman" w:eastAsia="Calibri" w:hAnsi="Times New Roman" w:cs="Times New Roman"/>
          <w:sz w:val="24"/>
          <w:szCs w:val="20"/>
        </w:rPr>
        <w:t xml:space="preserve">Iedzīvotāju dzīves kvalitāti nosaka ne tikai IKP uz vienu iedzīvotāju un ienākumu nevienlīdzība, bet arī citi faktori, tai skaitā </w:t>
      </w:r>
      <w:r w:rsidRPr="0009609E">
        <w:rPr>
          <w:rFonts w:ascii="Times New Roman" w:eastAsia="Calibri" w:hAnsi="Times New Roman" w:cs="Times New Roman"/>
          <w:b/>
          <w:sz w:val="24"/>
          <w:szCs w:val="20"/>
        </w:rPr>
        <w:t>sabiedrības veselība</w:t>
      </w:r>
      <w:r w:rsidRPr="0009609E">
        <w:rPr>
          <w:rFonts w:ascii="Times New Roman" w:eastAsia="Calibri" w:hAnsi="Times New Roman" w:cs="Times New Roman"/>
          <w:sz w:val="24"/>
          <w:szCs w:val="20"/>
        </w:rPr>
        <w:t xml:space="preserve"> un brīvā laika pavadīšana. No šāda aspekta papildus budžeta izdevumu palielinājumam kultūrai un veselībai</w:t>
      </w:r>
      <w:r w:rsidRPr="0009609E">
        <w:rPr>
          <w:rFonts w:ascii="Times New Roman" w:eastAsia="Times New Roman" w:hAnsi="Times New Roman" w:cs="Times New Roman"/>
          <w:sz w:val="24"/>
          <w:szCs w:val="20"/>
        </w:rPr>
        <w:t xml:space="preserve"> likumā „Par vidēja termiņa budžeta ietvaru 2014., 2015. un 2016.gadam”</w:t>
      </w:r>
      <w:r w:rsidRPr="0009609E">
        <w:rPr>
          <w:rFonts w:ascii="Times New Roman" w:eastAsia="Calibri" w:hAnsi="Times New Roman" w:cs="Times New Roman"/>
          <w:sz w:val="24"/>
          <w:szCs w:val="20"/>
        </w:rPr>
        <w:t xml:space="preserve"> arī likumā „Par vidēja termiņa budžeta ietvaru 2015., 2016. un 2017.gadam” šīm nozarēm, it īpaši veselībai, ir paredzēts nozīmīgu finansējuma palielinājums. Jāatzīmē, ka saskaņā ar valdības funkciju klasifikāciju (COFOG) valsts funkcijas „veselība” finansējums pret IKP Latvijā ir viens no zemākajiem ES un tā palielināšana, būs arī turpmāko vidēja termiņa budžeta ietvara likumu uzdevums.</w:t>
      </w:r>
    </w:p>
    <w:p w14:paraId="3C2268A5" w14:textId="77777777" w:rsidR="004C7E0F" w:rsidRPr="00C10259" w:rsidRDefault="004C7E0F" w:rsidP="004C7E0F">
      <w:pPr>
        <w:spacing w:after="60" w:line="240" w:lineRule="auto"/>
        <w:ind w:firstLine="720"/>
        <w:jc w:val="both"/>
        <w:rPr>
          <w:rFonts w:ascii="Times New Roman" w:eastAsia="Calibri" w:hAnsi="Times New Roman" w:cs="Times New Roman"/>
          <w:b/>
          <w:i/>
          <w:color w:val="000000"/>
          <w:sz w:val="24"/>
          <w:szCs w:val="24"/>
        </w:rPr>
      </w:pPr>
      <w:r w:rsidRPr="0009609E">
        <w:rPr>
          <w:rFonts w:ascii="Times New Roman" w:eastAsia="Calibri" w:hAnsi="Times New Roman" w:cs="Times New Roman"/>
          <w:sz w:val="24"/>
          <w:szCs w:val="20"/>
        </w:rPr>
        <w:t>Veselības sistēmas reforma ir būtisks elements gan iedzīvotāju dzīves kvalitātes uzlabošanā, gan valsts potenciālās izaugsmes kāpināšanā. Veselības sistēmas reforma ir Latvijas viena no būtiskākajām strukturālajām reformām un šīs reforma īstenošanai tiek plānots izmantot SIP stru</w:t>
      </w:r>
      <w:r>
        <w:rPr>
          <w:rFonts w:ascii="Times New Roman" w:eastAsia="Calibri" w:hAnsi="Times New Roman" w:cs="Times New Roman"/>
          <w:sz w:val="24"/>
          <w:szCs w:val="20"/>
        </w:rPr>
        <w:t>kturālo reformu klauzulu (</w:t>
      </w:r>
      <w:r w:rsidRPr="0009609E">
        <w:rPr>
          <w:rFonts w:ascii="Times New Roman" w:eastAsia="Calibri" w:hAnsi="Times New Roman" w:cs="Times New Roman"/>
          <w:sz w:val="24"/>
          <w:szCs w:val="20"/>
        </w:rPr>
        <w:t>skat</w:t>
      </w:r>
      <w:r>
        <w:rPr>
          <w:rFonts w:ascii="Times New Roman" w:eastAsia="Calibri" w:hAnsi="Times New Roman" w:cs="Times New Roman"/>
          <w:sz w:val="24"/>
          <w:szCs w:val="20"/>
        </w:rPr>
        <w:t>.</w:t>
      </w:r>
      <w:r w:rsidRPr="0009609E">
        <w:rPr>
          <w:rFonts w:ascii="Times New Roman" w:eastAsia="Calibri" w:hAnsi="Times New Roman" w:cs="Times New Roman"/>
          <w:sz w:val="24"/>
          <w:szCs w:val="20"/>
        </w:rPr>
        <w:t xml:space="preserve"> </w:t>
      </w:r>
      <w:r>
        <w:rPr>
          <w:rFonts w:ascii="Times New Roman" w:eastAsia="Calibri" w:hAnsi="Times New Roman" w:cs="Times New Roman"/>
          <w:sz w:val="24"/>
          <w:szCs w:val="20"/>
        </w:rPr>
        <w:t>apakš</w:t>
      </w:r>
      <w:r w:rsidRPr="0009609E">
        <w:rPr>
          <w:rFonts w:ascii="Times New Roman" w:eastAsia="Calibri" w:hAnsi="Times New Roman" w:cs="Times New Roman"/>
          <w:sz w:val="24"/>
          <w:szCs w:val="20"/>
        </w:rPr>
        <w:t xml:space="preserve">sadaļu </w:t>
      </w:r>
      <w:r>
        <w:rPr>
          <w:rFonts w:ascii="Times New Roman" w:eastAsia="Calibri" w:hAnsi="Times New Roman" w:cs="Times New Roman"/>
          <w:sz w:val="24"/>
          <w:szCs w:val="20"/>
        </w:rPr>
        <w:t>“</w:t>
      </w:r>
      <w:r w:rsidRPr="00C10259">
        <w:rPr>
          <w:rFonts w:ascii="Times New Roman" w:eastAsia="Calibri" w:hAnsi="Times New Roman" w:cs="Times New Roman"/>
          <w:sz w:val="24"/>
          <w:szCs w:val="20"/>
        </w:rPr>
        <w:t>Veselības sistēmas reforma</w:t>
      </w:r>
      <w:r>
        <w:rPr>
          <w:rFonts w:ascii="Times New Roman" w:eastAsia="Calibri" w:hAnsi="Times New Roman" w:cs="Times New Roman"/>
          <w:sz w:val="24"/>
          <w:szCs w:val="20"/>
        </w:rPr>
        <w:t>”).</w:t>
      </w:r>
    </w:p>
    <w:p w14:paraId="0F154EF9" w14:textId="2170D746" w:rsidR="004C7E0F" w:rsidRPr="0009609E" w:rsidRDefault="004C7E0F" w:rsidP="004C7E0F">
      <w:pPr>
        <w:spacing w:after="60" w:line="240" w:lineRule="auto"/>
        <w:ind w:firstLine="720"/>
        <w:jc w:val="both"/>
        <w:rPr>
          <w:rFonts w:ascii="Times New Roman" w:eastAsia="Calibri" w:hAnsi="Times New Roman" w:cs="Times New Roman"/>
          <w:sz w:val="24"/>
          <w:szCs w:val="20"/>
        </w:rPr>
      </w:pPr>
      <w:r w:rsidRPr="0009609E">
        <w:rPr>
          <w:rFonts w:ascii="Times New Roman" w:eastAsia="Calibri" w:hAnsi="Times New Roman" w:cs="Times New Roman"/>
          <w:b/>
          <w:sz w:val="24"/>
          <w:szCs w:val="24"/>
        </w:rPr>
        <w:t>Trešais fiskālās politikas specifiskais mērķis</w:t>
      </w:r>
      <w:r>
        <w:rPr>
          <w:rFonts w:ascii="Times New Roman" w:eastAsia="Calibri" w:hAnsi="Times New Roman" w:cs="Times New Roman"/>
          <w:b/>
          <w:sz w:val="24"/>
          <w:szCs w:val="24"/>
        </w:rPr>
        <w:t xml:space="preserve"> </w:t>
      </w:r>
      <w:r w:rsidRPr="0009609E">
        <w:rPr>
          <w:rFonts w:ascii="Times New Roman" w:eastAsia="Calibri" w:hAnsi="Times New Roman" w:cs="Times New Roman"/>
          <w:sz w:val="24"/>
          <w:szCs w:val="20"/>
        </w:rPr>
        <w:t xml:space="preserve">- labvēlīgas vides nodrošināšana ekonomikas attīstībai, ir būtisks ne tikai, lai nodrošinātu stabilus pamatus dzīves kvalitātes ilgtspējai, bet arī, lai radītu </w:t>
      </w:r>
      <w:r w:rsidRPr="0009609E">
        <w:rPr>
          <w:rFonts w:ascii="Times New Roman" w:eastAsia="Calibri" w:hAnsi="Times New Roman" w:cs="Times New Roman"/>
          <w:b/>
          <w:sz w:val="24"/>
          <w:szCs w:val="20"/>
        </w:rPr>
        <w:t>tūlītēju efektu</w:t>
      </w:r>
      <w:r w:rsidRPr="0009609E">
        <w:rPr>
          <w:rFonts w:ascii="Times New Roman" w:eastAsia="Calibri" w:hAnsi="Times New Roman" w:cs="Times New Roman"/>
          <w:sz w:val="24"/>
          <w:szCs w:val="20"/>
        </w:rPr>
        <w:t xml:space="preserve"> uz dzīves kvalitāti, palielinot nodarbinātību un iedzīvotāju ienākumus.</w:t>
      </w:r>
      <w:r w:rsidRPr="0009609E">
        <w:rPr>
          <w:rFonts w:ascii="Times New Roman" w:eastAsia="Times New Roman" w:hAnsi="Times New Roman" w:cs="Times New Roman"/>
          <w:sz w:val="24"/>
          <w:szCs w:val="20"/>
        </w:rPr>
        <w:t xml:space="preserve"> </w:t>
      </w:r>
      <w:r w:rsidRPr="0009609E">
        <w:rPr>
          <w:rFonts w:ascii="Times New Roman" w:eastAsia="Calibri" w:hAnsi="Times New Roman" w:cs="Times New Roman"/>
          <w:sz w:val="24"/>
          <w:szCs w:val="20"/>
        </w:rPr>
        <w:t xml:space="preserve">Viens no fiskāli nozīmīgākajiem pasākumiem </w:t>
      </w:r>
      <w:r w:rsidRPr="0009609E">
        <w:rPr>
          <w:rFonts w:ascii="Times New Roman" w:eastAsia="Times New Roman" w:hAnsi="Times New Roman" w:cs="Times New Roman"/>
          <w:sz w:val="24"/>
          <w:szCs w:val="20"/>
        </w:rPr>
        <w:t>likumā „Par vidēja termiņa budžeta ietvaru 2014., 2015. un 2016.gadam”</w:t>
      </w:r>
      <w:r w:rsidRPr="0009609E">
        <w:rPr>
          <w:rFonts w:ascii="Times New Roman" w:eastAsia="Calibri" w:hAnsi="Times New Roman" w:cs="Times New Roman"/>
          <w:sz w:val="24"/>
          <w:szCs w:val="20"/>
        </w:rPr>
        <w:t xml:space="preserve"> bija darbaspēka nodokļu samazināšana, proti, IIN likmes samazināšana vidējā termiņā, kā arī darba devēja un darba ņēmēja valsts sociālās apdrošināšanas obligāto iemaksu likmes samazināšana 2014.gadā. Likums „Par vidēja termiņa budžeta ietvaru 2015., 2016. un 2017.gadam” paredz turpināt IIN likmes samazināša</w:t>
      </w:r>
      <w:r w:rsidR="003F7B43">
        <w:rPr>
          <w:rFonts w:ascii="Times New Roman" w:eastAsia="Calibri" w:hAnsi="Times New Roman" w:cs="Times New Roman"/>
          <w:sz w:val="24"/>
          <w:szCs w:val="20"/>
        </w:rPr>
        <w:t>nas stratēģiju vidējā termiņa.</w:t>
      </w:r>
    </w:p>
    <w:p w14:paraId="3F834F71" w14:textId="77777777" w:rsidR="004C7E0F" w:rsidRPr="00CC6037" w:rsidRDefault="004C7E0F" w:rsidP="004C7E0F">
      <w:pPr>
        <w:spacing w:after="60" w:line="240" w:lineRule="auto"/>
        <w:ind w:firstLine="720"/>
        <w:jc w:val="both"/>
        <w:rPr>
          <w:rFonts w:ascii="Times New Roman" w:eastAsia="Calibri" w:hAnsi="Times New Roman" w:cs="Times New Roman"/>
          <w:sz w:val="24"/>
          <w:szCs w:val="20"/>
          <w:highlight w:val="yellow"/>
        </w:rPr>
      </w:pPr>
      <w:r w:rsidRPr="0009609E">
        <w:rPr>
          <w:rFonts w:ascii="Times New Roman" w:eastAsia="Calibri" w:hAnsi="Times New Roman" w:cs="Times New Roman"/>
          <w:sz w:val="24"/>
          <w:szCs w:val="20"/>
        </w:rPr>
        <w:t>Sakārtota infrastruktūra ir būtisks faktors dzīves kvalitātei un ekonomikas attīstībai. Valsts ekonomiskā krīze ir negatīvi ietekmējusi autoceļu stāvokli. Lai arī autoceļu uzlabošanā tiek ieguldīti apjomīgi ES fondu līdzekļi, autoceļu stāvoklis nav uzskatāms par apmierinošu. Saskaņā ar Pasaules ekonomikas foruma (WEF) Globālās konkurētspējas ziņojumu</w:t>
      </w:r>
      <w:r w:rsidRPr="00F05D16">
        <w:rPr>
          <w:rFonts w:ascii="Times New Roman" w:eastAsia="Calibri" w:hAnsi="Times New Roman" w:cs="Times New Roman"/>
          <w:sz w:val="24"/>
          <w:szCs w:val="20"/>
          <w:vertAlign w:val="superscript"/>
        </w:rPr>
        <w:footnoteReference w:id="9"/>
      </w:r>
      <w:r w:rsidRPr="0009609E">
        <w:rPr>
          <w:rFonts w:ascii="Times New Roman" w:eastAsia="Calibri" w:hAnsi="Times New Roman" w:cs="Times New Roman"/>
          <w:sz w:val="24"/>
          <w:szCs w:val="20"/>
        </w:rPr>
        <w:t xml:space="preserve">, ceļu kvalitātes ziņā Latvija 144 pasaules valstu konkurencē ierindota 108.vietā, kas salīdzinot ar iepriekšējo ziņojumu nozīmē kritumu lejup par 9 vietām. Lai risinātu aktuālo ceļu kvalitātes jautājumu, tāpat kā </w:t>
      </w:r>
      <w:r w:rsidRPr="0009609E">
        <w:rPr>
          <w:rFonts w:ascii="Times New Roman" w:eastAsia="Times New Roman" w:hAnsi="Times New Roman" w:cs="Times New Roman"/>
          <w:sz w:val="24"/>
          <w:szCs w:val="20"/>
        </w:rPr>
        <w:t>likumā „Par vidēja termiņa budžeta ietvaru 2014., 2015. un 2016.gadam”</w:t>
      </w:r>
      <w:r w:rsidRPr="0009609E">
        <w:rPr>
          <w:rFonts w:ascii="Times New Roman" w:eastAsia="Calibri" w:hAnsi="Times New Roman" w:cs="Times New Roman"/>
          <w:sz w:val="24"/>
          <w:szCs w:val="20"/>
        </w:rPr>
        <w:t xml:space="preserve"> arī  likumā „Par vidēja termiņa budžeta ietvaru 2015., 2016. un 2017.gadam” tika paredzēts papildus finansējums ceļu kvalitātes uzlabošanai, proti, papildus līdzekļi ir paredzēti pašvaldību autoceļu uzturēšanai gan 2015.gadā, gan arī vidējā termiņā.</w:t>
      </w:r>
    </w:p>
    <w:p w14:paraId="2B8B899A" w14:textId="2F70546A" w:rsidR="004C7E0F" w:rsidRPr="0009609E" w:rsidRDefault="004C7E0F" w:rsidP="004C7E0F">
      <w:pPr>
        <w:spacing w:after="60" w:line="240" w:lineRule="auto"/>
        <w:ind w:firstLine="720"/>
        <w:jc w:val="both"/>
        <w:rPr>
          <w:rFonts w:ascii="Times New Roman" w:eastAsia="Calibri" w:hAnsi="Times New Roman" w:cs="Times New Roman"/>
          <w:sz w:val="24"/>
          <w:szCs w:val="24"/>
        </w:rPr>
      </w:pPr>
      <w:r w:rsidRPr="0009609E">
        <w:rPr>
          <w:rFonts w:ascii="Times New Roman" w:eastAsia="Calibri" w:hAnsi="Times New Roman" w:cs="Times New Roman"/>
          <w:sz w:val="24"/>
          <w:szCs w:val="24"/>
        </w:rPr>
        <w:t xml:space="preserve">Lai īstenotu </w:t>
      </w:r>
      <w:r>
        <w:rPr>
          <w:rFonts w:ascii="Times New Roman" w:eastAsia="Calibri" w:hAnsi="Times New Roman" w:cs="Times New Roman"/>
          <w:b/>
          <w:sz w:val="24"/>
          <w:szCs w:val="24"/>
        </w:rPr>
        <w:t>ceturto</w:t>
      </w:r>
      <w:r w:rsidRPr="0009609E">
        <w:rPr>
          <w:rFonts w:ascii="Times New Roman" w:eastAsia="Calibri" w:hAnsi="Times New Roman" w:cs="Times New Roman"/>
          <w:b/>
          <w:sz w:val="24"/>
          <w:szCs w:val="24"/>
        </w:rPr>
        <w:t xml:space="preserve"> fiskālās politikas specifisko mērķi</w:t>
      </w:r>
      <w:r>
        <w:rPr>
          <w:rFonts w:ascii="Times New Roman" w:eastAsia="Calibri" w:hAnsi="Times New Roman" w:cs="Times New Roman"/>
          <w:b/>
          <w:sz w:val="24"/>
          <w:szCs w:val="24"/>
        </w:rPr>
        <w:t>,</w:t>
      </w:r>
      <w:r w:rsidRPr="0009609E">
        <w:rPr>
          <w:rFonts w:ascii="Times New Roman" w:eastAsia="Calibri" w:hAnsi="Times New Roman" w:cs="Times New Roman"/>
          <w:sz w:val="24"/>
          <w:szCs w:val="24"/>
        </w:rPr>
        <w:t xml:space="preserve"> 2014.gad</w:t>
      </w:r>
      <w:r>
        <w:rPr>
          <w:rFonts w:ascii="Times New Roman" w:eastAsia="Calibri" w:hAnsi="Times New Roman" w:cs="Times New Roman"/>
          <w:sz w:val="24"/>
          <w:szCs w:val="24"/>
        </w:rPr>
        <w:t>a 3.jūlijā tika pieņemts jauns V</w:t>
      </w:r>
      <w:r w:rsidRPr="0009609E">
        <w:rPr>
          <w:rFonts w:ascii="Times New Roman" w:eastAsia="Calibri" w:hAnsi="Times New Roman" w:cs="Times New Roman"/>
          <w:sz w:val="24"/>
          <w:szCs w:val="24"/>
        </w:rPr>
        <w:t>alsts aizsardzības finansēšanas likums, kas nosaka pakāpenisku valsts aizsardzības finansējuma pret IKP palielinājumu līdz tas 2020.gadā sasniedz 2% no IKP.</w:t>
      </w:r>
      <w:r w:rsidRPr="0009609E">
        <w:rPr>
          <w:rFonts w:ascii="Times New Roman" w:eastAsia="Calibri" w:hAnsi="Times New Roman" w:cs="Times New Roman"/>
          <w:sz w:val="24"/>
          <w:szCs w:val="20"/>
        </w:rPr>
        <w:t xml:space="preserve"> Ņemot vērā būtiskās izmaiņa</w:t>
      </w:r>
      <w:r>
        <w:rPr>
          <w:rFonts w:ascii="Times New Roman" w:eastAsia="Calibri" w:hAnsi="Times New Roman" w:cs="Times New Roman"/>
          <w:sz w:val="24"/>
          <w:szCs w:val="20"/>
        </w:rPr>
        <w:t>s ģeopolitiskajos riskos, šajā S</w:t>
      </w:r>
      <w:r w:rsidRPr="0009609E">
        <w:rPr>
          <w:rFonts w:ascii="Times New Roman" w:eastAsia="Calibri" w:hAnsi="Times New Roman" w:cs="Times New Roman"/>
          <w:sz w:val="24"/>
          <w:szCs w:val="20"/>
        </w:rPr>
        <w:t>tabilitātes programmā plānots nodrošināt daudz straujāku valst</w:t>
      </w:r>
      <w:r w:rsidR="003F7B43">
        <w:rPr>
          <w:rFonts w:ascii="Times New Roman" w:eastAsia="Calibri" w:hAnsi="Times New Roman" w:cs="Times New Roman"/>
          <w:sz w:val="24"/>
          <w:szCs w:val="20"/>
        </w:rPr>
        <w:t xml:space="preserve">s aizsardzības spēju pieaugumu </w:t>
      </w:r>
      <w:r w:rsidRPr="0009609E">
        <w:rPr>
          <w:rFonts w:ascii="Times New Roman" w:eastAsia="Calibri" w:hAnsi="Times New Roman" w:cs="Times New Roman"/>
          <w:sz w:val="24"/>
          <w:szCs w:val="20"/>
        </w:rPr>
        <w:t>sasniedzot 2% mērķi jau 2018.gadā.</w:t>
      </w:r>
    </w:p>
    <w:p w14:paraId="4CE733AB" w14:textId="7632FA40" w:rsidR="0009609E" w:rsidRPr="0057255A" w:rsidRDefault="0057255A" w:rsidP="0020740D">
      <w:pPr>
        <w:keepNext/>
        <w:tabs>
          <w:tab w:val="left" w:pos="567"/>
        </w:tabs>
        <w:spacing w:before="160" w:after="60" w:line="240" w:lineRule="auto"/>
        <w:jc w:val="right"/>
        <w:outlineLvl w:val="1"/>
        <w:rPr>
          <w:rFonts w:ascii="Times New Roman" w:eastAsia="Times New Roman" w:hAnsi="Times New Roman" w:cs="Times New Roman"/>
          <w:b/>
          <w:sz w:val="24"/>
          <w:szCs w:val="28"/>
        </w:rPr>
      </w:pPr>
      <w:r>
        <w:rPr>
          <w:rFonts w:ascii="Times New Roman" w:eastAsia="Times New Roman" w:hAnsi="Times New Roman" w:cs="Times New Roman"/>
          <w:b/>
          <w:sz w:val="24"/>
          <w:szCs w:val="28"/>
        </w:rPr>
        <w:t>3.4.t</w:t>
      </w:r>
      <w:r w:rsidR="0009609E" w:rsidRPr="0057255A">
        <w:rPr>
          <w:rFonts w:ascii="Times New Roman" w:eastAsia="Times New Roman" w:hAnsi="Times New Roman" w:cs="Times New Roman"/>
          <w:b/>
          <w:sz w:val="24"/>
          <w:szCs w:val="28"/>
        </w:rPr>
        <w:t>abula. Plānotais izdevumu apmērs aizsardzības nozares finans</w:t>
      </w:r>
      <w:r w:rsidR="00CC6037" w:rsidRPr="0057255A">
        <w:rPr>
          <w:rFonts w:ascii="Times New Roman" w:eastAsia="Times New Roman" w:hAnsi="Times New Roman" w:cs="Times New Roman"/>
          <w:b/>
          <w:sz w:val="24"/>
          <w:szCs w:val="28"/>
        </w:rPr>
        <w:t>ēšanai</w:t>
      </w:r>
    </w:p>
    <w:tbl>
      <w:tblPr>
        <w:tblStyle w:val="GridTable6ColorfulAccent1"/>
        <w:tblW w:w="0" w:type="auto"/>
        <w:jc w:val="center"/>
        <w:tblLayout w:type="fixed"/>
        <w:tblLook w:val="04A0" w:firstRow="1" w:lastRow="0" w:firstColumn="1" w:lastColumn="0" w:noHBand="0" w:noVBand="1"/>
      </w:tblPr>
      <w:tblGrid>
        <w:gridCol w:w="1545"/>
        <w:gridCol w:w="4404"/>
        <w:gridCol w:w="3092"/>
      </w:tblGrid>
      <w:tr w:rsidR="00D811E2" w:rsidRPr="00D811E2" w14:paraId="7ED25D03" w14:textId="77777777" w:rsidTr="00032492">
        <w:trPr>
          <w:cnfStyle w:val="100000000000" w:firstRow="1" w:lastRow="0" w:firstColumn="0" w:lastColumn="0" w:oddVBand="0" w:evenVBand="0" w:oddHBand="0"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1545" w:type="dxa"/>
            <w:vAlign w:val="center"/>
          </w:tcPr>
          <w:p w14:paraId="5CB61171" w14:textId="77777777" w:rsidR="0009609E" w:rsidRPr="00D811E2" w:rsidRDefault="0009609E" w:rsidP="00D811E2">
            <w:pPr>
              <w:jc w:val="cente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Gads</w:t>
            </w:r>
          </w:p>
        </w:tc>
        <w:tc>
          <w:tcPr>
            <w:tcW w:w="4404" w:type="dxa"/>
            <w:vAlign w:val="center"/>
          </w:tcPr>
          <w:p w14:paraId="4FC81296" w14:textId="77777777" w:rsidR="0009609E" w:rsidRPr="00D811E2" w:rsidRDefault="0009609E" w:rsidP="00D8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Minimālais likumdošanā noteiktais valsts budžeta izdevumu apmērs aizsardzībai, % no IKP</w:t>
            </w:r>
          </w:p>
        </w:tc>
        <w:tc>
          <w:tcPr>
            <w:tcW w:w="3092" w:type="dxa"/>
            <w:vAlign w:val="center"/>
          </w:tcPr>
          <w:p w14:paraId="497DEBF8" w14:textId="77777777" w:rsidR="0009609E" w:rsidRPr="00D811E2" w:rsidRDefault="0009609E" w:rsidP="00D811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Plānotais pieaugums atbilstoši jaunajiem ģeopolitiskajiem riskiem</w:t>
            </w:r>
          </w:p>
        </w:tc>
      </w:tr>
      <w:tr w:rsidR="00D811E2" w:rsidRPr="00D811E2" w14:paraId="6FE9308E" w14:textId="77777777" w:rsidTr="00032492">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1545" w:type="dxa"/>
          </w:tcPr>
          <w:p w14:paraId="674726B6" w14:textId="77777777" w:rsidR="0009609E" w:rsidRPr="00D811E2" w:rsidRDefault="0009609E" w:rsidP="0057255A">
            <w:pPr>
              <w:jc w:val="cente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2015</w:t>
            </w:r>
          </w:p>
        </w:tc>
        <w:tc>
          <w:tcPr>
            <w:tcW w:w="4404" w:type="dxa"/>
          </w:tcPr>
          <w:p w14:paraId="2FA5003D" w14:textId="77777777" w:rsidR="0009609E" w:rsidRPr="00D811E2" w:rsidRDefault="0009609E" w:rsidP="00572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1,0</w:t>
            </w:r>
          </w:p>
        </w:tc>
        <w:tc>
          <w:tcPr>
            <w:tcW w:w="3092" w:type="dxa"/>
          </w:tcPr>
          <w:p w14:paraId="6807021E" w14:textId="77777777" w:rsidR="0009609E" w:rsidRPr="00D811E2" w:rsidRDefault="0009609E" w:rsidP="00572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1,0</w:t>
            </w:r>
          </w:p>
        </w:tc>
      </w:tr>
      <w:tr w:rsidR="00D811E2" w:rsidRPr="00D811E2" w14:paraId="00557ADD" w14:textId="77777777" w:rsidTr="00032492">
        <w:trPr>
          <w:trHeight w:val="190"/>
          <w:jc w:val="center"/>
        </w:trPr>
        <w:tc>
          <w:tcPr>
            <w:cnfStyle w:val="001000000000" w:firstRow="0" w:lastRow="0" w:firstColumn="1" w:lastColumn="0" w:oddVBand="0" w:evenVBand="0" w:oddHBand="0" w:evenHBand="0" w:firstRowFirstColumn="0" w:firstRowLastColumn="0" w:lastRowFirstColumn="0" w:lastRowLastColumn="0"/>
            <w:tcW w:w="1545" w:type="dxa"/>
          </w:tcPr>
          <w:p w14:paraId="5FF8BADC" w14:textId="77777777" w:rsidR="0009609E" w:rsidRPr="00D811E2" w:rsidRDefault="0009609E" w:rsidP="0057255A">
            <w:pPr>
              <w:jc w:val="cente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2016</w:t>
            </w:r>
          </w:p>
        </w:tc>
        <w:tc>
          <w:tcPr>
            <w:tcW w:w="4404" w:type="dxa"/>
          </w:tcPr>
          <w:p w14:paraId="64256CC0" w14:textId="77777777" w:rsidR="0009609E" w:rsidRPr="00D811E2" w:rsidRDefault="0009609E" w:rsidP="00572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1,1</w:t>
            </w:r>
          </w:p>
        </w:tc>
        <w:tc>
          <w:tcPr>
            <w:tcW w:w="3092" w:type="dxa"/>
          </w:tcPr>
          <w:p w14:paraId="0AC9F1FF" w14:textId="77777777" w:rsidR="0009609E" w:rsidRPr="00D811E2" w:rsidRDefault="0009609E" w:rsidP="00572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1,4</w:t>
            </w:r>
          </w:p>
        </w:tc>
      </w:tr>
      <w:tr w:rsidR="00D811E2" w:rsidRPr="00D811E2" w14:paraId="40B92FFE" w14:textId="77777777" w:rsidTr="000324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dxa"/>
          </w:tcPr>
          <w:p w14:paraId="6A571EBD" w14:textId="77777777" w:rsidR="0009609E" w:rsidRPr="00D811E2" w:rsidRDefault="0009609E" w:rsidP="0057255A">
            <w:pPr>
              <w:jc w:val="cente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2017</w:t>
            </w:r>
          </w:p>
        </w:tc>
        <w:tc>
          <w:tcPr>
            <w:tcW w:w="4404" w:type="dxa"/>
          </w:tcPr>
          <w:p w14:paraId="2B432A2E" w14:textId="77777777" w:rsidR="0009609E" w:rsidRPr="00D811E2" w:rsidRDefault="0009609E" w:rsidP="00572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1,3</w:t>
            </w:r>
          </w:p>
        </w:tc>
        <w:tc>
          <w:tcPr>
            <w:tcW w:w="3092" w:type="dxa"/>
          </w:tcPr>
          <w:p w14:paraId="4AB5EFB1" w14:textId="77777777" w:rsidR="0009609E" w:rsidRPr="00D811E2" w:rsidRDefault="0009609E" w:rsidP="00572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1,7</w:t>
            </w:r>
          </w:p>
        </w:tc>
      </w:tr>
      <w:tr w:rsidR="00D811E2" w:rsidRPr="00D811E2" w14:paraId="3B373597" w14:textId="77777777" w:rsidTr="00032492">
        <w:trPr>
          <w:jc w:val="center"/>
        </w:trPr>
        <w:tc>
          <w:tcPr>
            <w:cnfStyle w:val="001000000000" w:firstRow="0" w:lastRow="0" w:firstColumn="1" w:lastColumn="0" w:oddVBand="0" w:evenVBand="0" w:oddHBand="0" w:evenHBand="0" w:firstRowFirstColumn="0" w:firstRowLastColumn="0" w:lastRowFirstColumn="0" w:lastRowLastColumn="0"/>
            <w:tcW w:w="1545" w:type="dxa"/>
          </w:tcPr>
          <w:p w14:paraId="1B73032F" w14:textId="77777777" w:rsidR="0009609E" w:rsidRPr="00D811E2" w:rsidRDefault="0009609E" w:rsidP="0057255A">
            <w:pPr>
              <w:jc w:val="cente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2018</w:t>
            </w:r>
          </w:p>
        </w:tc>
        <w:tc>
          <w:tcPr>
            <w:tcW w:w="4404" w:type="dxa"/>
          </w:tcPr>
          <w:p w14:paraId="264DE8BC" w14:textId="77777777" w:rsidR="0009609E" w:rsidRPr="00D811E2" w:rsidRDefault="0009609E" w:rsidP="00572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1,5</w:t>
            </w:r>
          </w:p>
        </w:tc>
        <w:tc>
          <w:tcPr>
            <w:tcW w:w="3092" w:type="dxa"/>
          </w:tcPr>
          <w:p w14:paraId="15E632CA" w14:textId="77777777" w:rsidR="0009609E" w:rsidRPr="00D811E2" w:rsidRDefault="0009609E" w:rsidP="00572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2,0</w:t>
            </w:r>
          </w:p>
        </w:tc>
      </w:tr>
      <w:tr w:rsidR="00D811E2" w:rsidRPr="00D811E2" w14:paraId="09F09A8F" w14:textId="77777777" w:rsidTr="000324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5" w:type="dxa"/>
          </w:tcPr>
          <w:p w14:paraId="500FC343" w14:textId="77777777" w:rsidR="0009609E" w:rsidRPr="00D811E2" w:rsidRDefault="0009609E" w:rsidP="0057255A">
            <w:pPr>
              <w:jc w:val="cente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2019</w:t>
            </w:r>
          </w:p>
        </w:tc>
        <w:tc>
          <w:tcPr>
            <w:tcW w:w="4404" w:type="dxa"/>
          </w:tcPr>
          <w:p w14:paraId="07C2C047" w14:textId="77777777" w:rsidR="0009609E" w:rsidRPr="00D811E2" w:rsidRDefault="0009609E" w:rsidP="00572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1,75</w:t>
            </w:r>
          </w:p>
        </w:tc>
        <w:tc>
          <w:tcPr>
            <w:tcW w:w="3092" w:type="dxa"/>
          </w:tcPr>
          <w:p w14:paraId="55571C96" w14:textId="77777777" w:rsidR="0009609E" w:rsidRPr="00D811E2" w:rsidRDefault="0009609E" w:rsidP="005725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D811E2" w:rsidRPr="00D811E2" w14:paraId="3E589A1D" w14:textId="77777777" w:rsidTr="00032492">
        <w:trPr>
          <w:jc w:val="center"/>
        </w:trPr>
        <w:tc>
          <w:tcPr>
            <w:cnfStyle w:val="001000000000" w:firstRow="0" w:lastRow="0" w:firstColumn="1" w:lastColumn="0" w:oddVBand="0" w:evenVBand="0" w:oddHBand="0" w:evenHBand="0" w:firstRowFirstColumn="0" w:firstRowLastColumn="0" w:lastRowFirstColumn="0" w:lastRowLastColumn="0"/>
            <w:tcW w:w="1545" w:type="dxa"/>
          </w:tcPr>
          <w:p w14:paraId="6E662149" w14:textId="77777777" w:rsidR="0009609E" w:rsidRPr="00D811E2" w:rsidRDefault="0009609E" w:rsidP="0057255A">
            <w:pPr>
              <w:jc w:val="center"/>
              <w:rPr>
                <w:rFonts w:ascii="Times New Roman" w:hAnsi="Times New Roman" w:cs="Times New Roman"/>
                <w:b w:val="0"/>
                <w:color w:val="auto"/>
                <w:sz w:val="20"/>
                <w:szCs w:val="20"/>
              </w:rPr>
            </w:pPr>
            <w:r w:rsidRPr="00D811E2">
              <w:rPr>
                <w:rFonts w:ascii="Times New Roman" w:hAnsi="Times New Roman" w:cs="Times New Roman"/>
                <w:b w:val="0"/>
                <w:color w:val="auto"/>
                <w:sz w:val="20"/>
                <w:szCs w:val="20"/>
              </w:rPr>
              <w:t>2020</w:t>
            </w:r>
          </w:p>
        </w:tc>
        <w:tc>
          <w:tcPr>
            <w:tcW w:w="4404" w:type="dxa"/>
          </w:tcPr>
          <w:p w14:paraId="5F17D658" w14:textId="77777777" w:rsidR="0009609E" w:rsidRPr="00D811E2" w:rsidRDefault="0009609E" w:rsidP="00572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811E2">
              <w:rPr>
                <w:rFonts w:ascii="Times New Roman" w:hAnsi="Times New Roman" w:cs="Times New Roman"/>
                <w:color w:val="auto"/>
                <w:sz w:val="20"/>
                <w:szCs w:val="20"/>
              </w:rPr>
              <w:t>2,0</w:t>
            </w:r>
          </w:p>
        </w:tc>
        <w:tc>
          <w:tcPr>
            <w:tcW w:w="3092" w:type="dxa"/>
          </w:tcPr>
          <w:p w14:paraId="3086CC4E" w14:textId="77777777" w:rsidR="0009609E" w:rsidRPr="00D811E2" w:rsidRDefault="0009609E" w:rsidP="00572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bl>
    <w:p w14:paraId="66B45E01" w14:textId="77777777" w:rsidR="004C7E0F" w:rsidRPr="0009609E" w:rsidRDefault="004C7E0F" w:rsidP="00F05D16">
      <w:pPr>
        <w:spacing w:before="240" w:after="60" w:line="240" w:lineRule="auto"/>
        <w:ind w:firstLine="720"/>
        <w:jc w:val="both"/>
        <w:rPr>
          <w:rFonts w:ascii="Times New Roman" w:eastAsia="Calibri" w:hAnsi="Times New Roman" w:cs="Times New Roman"/>
          <w:b/>
          <w:sz w:val="24"/>
          <w:szCs w:val="20"/>
        </w:rPr>
      </w:pPr>
      <w:r w:rsidRPr="0009609E">
        <w:rPr>
          <w:rFonts w:ascii="Times New Roman" w:eastAsia="Calibri" w:hAnsi="Times New Roman" w:cs="Times New Roman"/>
          <w:b/>
          <w:sz w:val="24"/>
          <w:szCs w:val="20"/>
        </w:rPr>
        <w:t xml:space="preserve">Nozīmīgs faktors fiskālās politikas specifisko mērķu sasniegšanā  ir publiski pieejamo resursu apmērs. </w:t>
      </w:r>
      <w:r w:rsidRPr="0009609E">
        <w:rPr>
          <w:rFonts w:ascii="Times New Roman" w:eastAsia="Calibri" w:hAnsi="Times New Roman" w:cs="Times New Roman"/>
          <w:color w:val="000000"/>
          <w:sz w:val="24"/>
          <w:szCs w:val="24"/>
        </w:rPr>
        <w:t>Valsts budžeta bāzes izdevumi nodrošina valsts funkciju izpildi nemainīgā līmenī un pie nosacījuma, ja nerodas negatīvi ārēji apstākļi, kas samazinātu dzīves kvalitāti, var teikt, ka tā paliek nemainīgā līmenī. Tātad, lai novērstu negatīvu apstākļu ietekmi uz sabiedrības vidējo dzīves kvalitāti, vai, lai to paaugstinātu, nepieciešami papildu publisko finanšu resursi, bet, lai samazinātu nevienlīdzību dzīves kvalitātē, nepieciešama publisko finanšu resursu pārdale.</w:t>
      </w:r>
    </w:p>
    <w:p w14:paraId="3087277A" w14:textId="77777777" w:rsidR="004C7E0F" w:rsidRDefault="004C7E0F" w:rsidP="004C7E0F">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Latvija tradicionāli ir valsts ar relatīvi zemu nodokļu slogu.</w:t>
      </w:r>
      <w:r w:rsidRPr="0009609E">
        <w:rPr>
          <w:rFonts w:ascii="Times New Roman" w:eastAsia="Times New Roman" w:hAnsi="Times New Roman" w:cs="Times New Roman"/>
          <w:sz w:val="24"/>
          <w:szCs w:val="20"/>
        </w:rPr>
        <w:t xml:space="preserve"> </w:t>
      </w:r>
      <w:r w:rsidRPr="0009609E">
        <w:rPr>
          <w:rFonts w:ascii="Times New Roman" w:eastAsia="Calibri" w:hAnsi="Times New Roman" w:cs="Times New Roman"/>
          <w:color w:val="000000"/>
          <w:sz w:val="24"/>
          <w:szCs w:val="24"/>
        </w:rPr>
        <w:t xml:space="preserve">Latvijā nodokļu ieņēmumu attiecība pret IKP ir viena no zemākajām ES un pie pašreiz spēkā esošās nodokļu politikas prognozes liecina, ka turpmākajos gados nodokļu ieņēmumu attiecība pret IKP turpinās samazināties. Valdības stratēģija ir risināt šo problēmu nevis ar nodokļu likmju celšanu, bet gan pastiprināti strādājot pie nodokļu iekasējamības palielināšanas, tai skaitā ieviešot nepieciešamās izmaiņas likumdošanā. </w:t>
      </w:r>
    </w:p>
    <w:p w14:paraId="5037B86C" w14:textId="2D74C5F3" w:rsidR="004C7E0F" w:rsidRDefault="004C7E0F" w:rsidP="004C7E0F">
      <w:pPr>
        <w:spacing w:after="60" w:line="240" w:lineRule="auto"/>
        <w:ind w:firstLine="720"/>
        <w:jc w:val="both"/>
        <w:rPr>
          <w:rFonts w:ascii="Times New Roman" w:eastAsia="Calibri" w:hAnsi="Times New Roman" w:cs="Times New Roman"/>
          <w:color w:val="000000"/>
          <w:sz w:val="24"/>
          <w:szCs w:val="24"/>
        </w:rPr>
      </w:pPr>
      <w:r w:rsidRPr="00E31EC5">
        <w:rPr>
          <w:noProof/>
          <w:lang w:eastAsia="lv-LV"/>
        </w:rPr>
        <w:drawing>
          <wp:inline distT="0" distB="0" distL="0" distR="0" wp14:anchorId="73DAD75D" wp14:editId="2D84EDB1">
            <wp:extent cx="5047619" cy="3123809"/>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47619" cy="3123809"/>
                    </a:xfrm>
                    <a:prstGeom prst="rect">
                      <a:avLst/>
                    </a:prstGeom>
                  </pic:spPr>
                </pic:pic>
              </a:graphicData>
            </a:graphic>
          </wp:inline>
        </w:drawing>
      </w:r>
    </w:p>
    <w:p w14:paraId="47D520F9" w14:textId="790F7252" w:rsidR="004C7E0F" w:rsidRPr="0057255A" w:rsidRDefault="004C7E0F" w:rsidP="0020740D">
      <w:pPr>
        <w:spacing w:after="60" w:line="240" w:lineRule="auto"/>
        <w:jc w:val="center"/>
        <w:rPr>
          <w:rFonts w:ascii="Times New Roman" w:eastAsia="Calibri" w:hAnsi="Times New Roman" w:cs="Times New Roman"/>
          <w:b/>
          <w:color w:val="000000"/>
          <w:sz w:val="24"/>
          <w:szCs w:val="24"/>
        </w:rPr>
      </w:pPr>
      <w:r w:rsidRPr="00E31EC5">
        <w:rPr>
          <w:rFonts w:ascii="Times New Roman" w:eastAsia="Calibri" w:hAnsi="Times New Roman" w:cs="Times New Roman"/>
          <w:b/>
          <w:color w:val="000000"/>
          <w:sz w:val="24"/>
          <w:szCs w:val="24"/>
        </w:rPr>
        <w:t>3.5.attēls. Nodokļu ieņēmumu (D.2+D.5+D.61+D.91-D.99</w:t>
      </w:r>
      <w:r w:rsidR="004B569B">
        <w:rPr>
          <w:rFonts w:ascii="Times New Roman" w:eastAsia="Calibri" w:hAnsi="Times New Roman" w:cs="Times New Roman"/>
          <w:b/>
          <w:color w:val="000000"/>
          <w:sz w:val="24"/>
          <w:szCs w:val="24"/>
        </w:rPr>
        <w:t>5) attiecība pret IKP procento</w:t>
      </w:r>
      <w:r w:rsidR="004B569B" w:rsidRPr="004B569B">
        <w:rPr>
          <w:rFonts w:ascii="Times New Roman" w:eastAsia="Calibri" w:hAnsi="Times New Roman" w:cs="Times New Roman"/>
          <w:b/>
          <w:color w:val="000000"/>
          <w:sz w:val="24"/>
          <w:szCs w:val="24"/>
        </w:rPr>
        <w:t>s</w:t>
      </w:r>
      <w:r w:rsidR="004B569B" w:rsidRPr="004B569B">
        <w:rPr>
          <w:rStyle w:val="FootnoteReference"/>
          <w:rFonts w:ascii="Times New Roman" w:eastAsia="Calibri" w:hAnsi="Times New Roman" w:cs="Times New Roman"/>
          <w:b/>
          <w:color w:val="000000"/>
          <w:sz w:val="24"/>
          <w:szCs w:val="24"/>
        </w:rPr>
        <w:footnoteReference w:id="10"/>
      </w:r>
    </w:p>
    <w:p w14:paraId="09CE671B" w14:textId="77777777" w:rsidR="004C7E0F" w:rsidRPr="0009609E" w:rsidRDefault="004C7E0F" w:rsidP="00F05D16">
      <w:pPr>
        <w:spacing w:before="240"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Pieņemot lēmumu par darbaspēka nodokļa samazināšanu, Latvija vidējā termiņā kā galveno prioritāti ir izvēlējusies ekonomikas attīstību. Šajā situācijā publiski pieejamie resursi relatīvi pret IKP ir ievērojami zemāki, kā citās ES valstīs, padarot sarežģītu uzdevumu atrast finanšu resursus valsts sniegto pakalpojumu attīstībai atbilstoši ES pieņemtajiem standartiem. Apzinoties augstāk minēto problēmu, valdība ir definējusi, ka turpmākajos gados nodokļu politiku raksturos divi galvenie virzieni: </w:t>
      </w:r>
    </w:p>
    <w:p w14:paraId="1505E028" w14:textId="77777777" w:rsidR="004C7E0F" w:rsidRDefault="004C7E0F" w:rsidP="004C7E0F">
      <w:pPr>
        <w:numPr>
          <w:ilvl w:val="0"/>
          <w:numId w:val="18"/>
        </w:numPr>
        <w:spacing w:after="120" w:line="240" w:lineRule="auto"/>
        <w:ind w:left="1134"/>
        <w:contextualSpacing/>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Stabilitāte nodokļu politikā.</w:t>
      </w:r>
    </w:p>
    <w:p w14:paraId="2B5A7870" w14:textId="1D75220B" w:rsidR="0057255A" w:rsidRPr="004C7E0F" w:rsidRDefault="004C7E0F" w:rsidP="004C7E0F">
      <w:pPr>
        <w:numPr>
          <w:ilvl w:val="0"/>
          <w:numId w:val="18"/>
        </w:numPr>
        <w:spacing w:after="120" w:line="240" w:lineRule="auto"/>
        <w:ind w:left="1134"/>
        <w:contextualSpacing/>
        <w:jc w:val="both"/>
        <w:rPr>
          <w:rFonts w:ascii="Times New Roman" w:eastAsia="Calibri" w:hAnsi="Times New Roman" w:cs="Times New Roman"/>
          <w:color w:val="000000"/>
          <w:sz w:val="24"/>
          <w:szCs w:val="24"/>
        </w:rPr>
      </w:pPr>
      <w:r w:rsidRPr="004C7E0F">
        <w:rPr>
          <w:rFonts w:ascii="Times New Roman" w:eastAsia="Calibri" w:hAnsi="Times New Roman" w:cs="Times New Roman"/>
          <w:color w:val="000000"/>
          <w:sz w:val="24"/>
          <w:szCs w:val="24"/>
        </w:rPr>
        <w:t xml:space="preserve">Nodokļu iekasējamības palielināšana, virzoties uz nodokļu ieņēmumu apjomu pret IKP 1/3 apmērā. </w:t>
      </w:r>
      <w:r w:rsidR="0057255A" w:rsidRPr="004C7E0F">
        <w:rPr>
          <w:rFonts w:ascii="Times New Roman" w:eastAsia="Calibri" w:hAnsi="Times New Roman" w:cs="Times New Roman"/>
          <w:b/>
          <w:sz w:val="24"/>
          <w:szCs w:val="20"/>
        </w:rPr>
        <w:br w:type="page"/>
      </w:r>
    </w:p>
    <w:p w14:paraId="0B5760FD" w14:textId="36D08761" w:rsidR="0009609E" w:rsidRPr="0009609E" w:rsidRDefault="0057255A" w:rsidP="002D6792">
      <w:pPr>
        <w:spacing w:after="120" w:line="240" w:lineRule="auto"/>
        <w:jc w:val="right"/>
        <w:rPr>
          <w:rFonts w:ascii="Times New Roman" w:eastAsia="Calibri" w:hAnsi="Times New Roman" w:cs="Times New Roman"/>
          <w:b/>
          <w:sz w:val="24"/>
          <w:szCs w:val="20"/>
        </w:rPr>
      </w:pPr>
      <w:r>
        <w:rPr>
          <w:rFonts w:ascii="Times New Roman" w:eastAsia="Calibri" w:hAnsi="Times New Roman" w:cs="Times New Roman"/>
          <w:b/>
          <w:sz w:val="24"/>
          <w:szCs w:val="20"/>
        </w:rPr>
        <w:t>3.5.</w:t>
      </w:r>
      <w:r w:rsidR="002D6792">
        <w:rPr>
          <w:rFonts w:ascii="Times New Roman" w:eastAsia="Calibri" w:hAnsi="Times New Roman" w:cs="Times New Roman"/>
          <w:b/>
          <w:sz w:val="24"/>
          <w:szCs w:val="20"/>
        </w:rPr>
        <w:t xml:space="preserve">tabula. </w:t>
      </w:r>
      <w:r w:rsidR="0009609E" w:rsidRPr="0009609E">
        <w:rPr>
          <w:rFonts w:ascii="Times New Roman" w:eastAsia="Calibri" w:hAnsi="Times New Roman" w:cs="Times New Roman"/>
          <w:b/>
          <w:sz w:val="24"/>
          <w:szCs w:val="20"/>
        </w:rPr>
        <w:t xml:space="preserve">Būtiskākie fiskālo telpu palielinošie ieņēmumu pasākumi </w:t>
      </w:r>
      <w:r w:rsidR="0009609E" w:rsidRPr="0009609E">
        <w:rPr>
          <w:rFonts w:ascii="Times New Roman" w:eastAsia="Calibri" w:hAnsi="Times New Roman" w:cs="Times New Roman"/>
          <w:b/>
          <w:color w:val="000000"/>
          <w:sz w:val="24"/>
          <w:szCs w:val="24"/>
        </w:rPr>
        <w:t>un būtiskākie izdevumus palielinoši pasā</w:t>
      </w:r>
      <w:r w:rsidR="002D6792">
        <w:rPr>
          <w:rFonts w:ascii="Times New Roman" w:eastAsia="Calibri" w:hAnsi="Times New Roman" w:cs="Times New Roman"/>
          <w:b/>
          <w:color w:val="000000"/>
          <w:sz w:val="24"/>
          <w:szCs w:val="24"/>
        </w:rPr>
        <w:t>kumi, kas pieņemti likumā “Par v</w:t>
      </w:r>
      <w:r w:rsidR="0009609E" w:rsidRPr="0009609E">
        <w:rPr>
          <w:rFonts w:ascii="Times New Roman" w:eastAsia="Calibri" w:hAnsi="Times New Roman" w:cs="Times New Roman"/>
          <w:b/>
          <w:color w:val="000000"/>
          <w:sz w:val="24"/>
          <w:szCs w:val="24"/>
        </w:rPr>
        <w:t>idēja termiņa budžeta ietvaru 2015., 2016. un 2017.gadam”</w:t>
      </w:r>
    </w:p>
    <w:tbl>
      <w:tblPr>
        <w:tblStyle w:val="GridTable6ColorfulAccent1"/>
        <w:tblW w:w="9072" w:type="dxa"/>
        <w:jc w:val="center"/>
        <w:tblLook w:val="0420" w:firstRow="1" w:lastRow="0" w:firstColumn="0" w:lastColumn="0" w:noHBand="0" w:noVBand="1"/>
      </w:tblPr>
      <w:tblGrid>
        <w:gridCol w:w="6237"/>
        <w:gridCol w:w="945"/>
        <w:gridCol w:w="945"/>
        <w:gridCol w:w="945"/>
      </w:tblGrid>
      <w:tr w:rsidR="00D811E2" w:rsidRPr="00D811E2" w14:paraId="77B50806" w14:textId="77777777" w:rsidTr="00032492">
        <w:trPr>
          <w:cnfStyle w:val="100000000000" w:firstRow="1" w:lastRow="0" w:firstColumn="0" w:lastColumn="0" w:oddVBand="0" w:evenVBand="0" w:oddHBand="0" w:evenHBand="0" w:firstRowFirstColumn="0" w:firstRowLastColumn="0" w:lastRowFirstColumn="0" w:lastRowLastColumn="0"/>
          <w:trHeight w:val="490"/>
          <w:jc w:val="center"/>
        </w:trPr>
        <w:tc>
          <w:tcPr>
            <w:tcW w:w="6237" w:type="dxa"/>
            <w:vAlign w:val="center"/>
            <w:hideMark/>
          </w:tcPr>
          <w:p w14:paraId="32308255" w14:textId="77777777" w:rsidR="0009609E" w:rsidRPr="00D811E2" w:rsidRDefault="0009609E" w:rsidP="00D811E2">
            <w:pPr>
              <w:spacing w:after="120"/>
              <w:jc w:val="center"/>
              <w:rPr>
                <w:rFonts w:ascii="Times New Roman" w:hAnsi="Times New Roman" w:cs="Times New Roman"/>
                <w:color w:val="auto"/>
                <w:sz w:val="20"/>
                <w:szCs w:val="20"/>
              </w:rPr>
            </w:pPr>
            <w:r w:rsidRPr="00D811E2">
              <w:rPr>
                <w:rFonts w:ascii="Times New Roman" w:hAnsi="Times New Roman" w:cs="Times New Roman"/>
                <w:color w:val="auto"/>
                <w:sz w:val="20"/>
                <w:szCs w:val="20"/>
              </w:rPr>
              <w:t>Ieņēmumi</w:t>
            </w:r>
          </w:p>
        </w:tc>
        <w:tc>
          <w:tcPr>
            <w:tcW w:w="945" w:type="dxa"/>
            <w:vAlign w:val="center"/>
            <w:hideMark/>
          </w:tcPr>
          <w:p w14:paraId="0A04C81B" w14:textId="77777777" w:rsidR="0009609E" w:rsidRPr="00D811E2" w:rsidRDefault="0009609E" w:rsidP="00D811E2">
            <w:pPr>
              <w:spacing w:after="120"/>
              <w:jc w:val="center"/>
              <w:rPr>
                <w:rFonts w:ascii="Times New Roman" w:hAnsi="Times New Roman" w:cs="Times New Roman"/>
                <w:color w:val="auto"/>
                <w:sz w:val="20"/>
                <w:szCs w:val="20"/>
              </w:rPr>
            </w:pPr>
            <w:r w:rsidRPr="00D811E2">
              <w:rPr>
                <w:rFonts w:ascii="Times New Roman" w:hAnsi="Times New Roman" w:cs="Times New Roman"/>
                <w:color w:val="auto"/>
                <w:sz w:val="20"/>
                <w:szCs w:val="20"/>
              </w:rPr>
              <w:t>2015</w:t>
            </w:r>
          </w:p>
        </w:tc>
        <w:tc>
          <w:tcPr>
            <w:tcW w:w="945" w:type="dxa"/>
            <w:vAlign w:val="center"/>
            <w:hideMark/>
          </w:tcPr>
          <w:p w14:paraId="747D6363" w14:textId="77777777" w:rsidR="0009609E" w:rsidRPr="00D811E2" w:rsidRDefault="0009609E" w:rsidP="00D811E2">
            <w:pPr>
              <w:spacing w:after="120"/>
              <w:jc w:val="center"/>
              <w:rPr>
                <w:rFonts w:ascii="Times New Roman" w:hAnsi="Times New Roman" w:cs="Times New Roman"/>
                <w:color w:val="auto"/>
                <w:sz w:val="20"/>
                <w:szCs w:val="20"/>
              </w:rPr>
            </w:pPr>
            <w:r w:rsidRPr="00D811E2">
              <w:rPr>
                <w:rFonts w:ascii="Times New Roman" w:hAnsi="Times New Roman" w:cs="Times New Roman"/>
                <w:color w:val="auto"/>
                <w:sz w:val="20"/>
                <w:szCs w:val="20"/>
              </w:rPr>
              <w:t>2016</w:t>
            </w:r>
          </w:p>
        </w:tc>
        <w:tc>
          <w:tcPr>
            <w:tcW w:w="945" w:type="dxa"/>
            <w:vAlign w:val="center"/>
            <w:hideMark/>
          </w:tcPr>
          <w:p w14:paraId="095AB3EC" w14:textId="77777777" w:rsidR="0009609E" w:rsidRPr="00D811E2" w:rsidRDefault="0009609E" w:rsidP="00D811E2">
            <w:pPr>
              <w:spacing w:after="120"/>
              <w:jc w:val="center"/>
              <w:rPr>
                <w:rFonts w:ascii="Times New Roman" w:hAnsi="Times New Roman" w:cs="Times New Roman"/>
                <w:color w:val="auto"/>
                <w:sz w:val="20"/>
                <w:szCs w:val="20"/>
              </w:rPr>
            </w:pPr>
            <w:r w:rsidRPr="00D811E2">
              <w:rPr>
                <w:rFonts w:ascii="Times New Roman" w:hAnsi="Times New Roman" w:cs="Times New Roman"/>
                <w:color w:val="auto"/>
                <w:sz w:val="20"/>
                <w:szCs w:val="20"/>
              </w:rPr>
              <w:t>2017</w:t>
            </w:r>
          </w:p>
        </w:tc>
      </w:tr>
      <w:tr w:rsidR="00D811E2" w:rsidRPr="00D811E2" w14:paraId="7413C0D3" w14:textId="77777777" w:rsidTr="00032492">
        <w:trPr>
          <w:cnfStyle w:val="000000100000" w:firstRow="0" w:lastRow="0" w:firstColumn="0" w:lastColumn="0" w:oddVBand="0" w:evenVBand="0" w:oddHBand="1" w:evenHBand="0" w:firstRowFirstColumn="0" w:firstRowLastColumn="0" w:lastRowFirstColumn="0" w:lastRowLastColumn="0"/>
          <w:trHeight w:val="1265"/>
          <w:jc w:val="center"/>
        </w:trPr>
        <w:tc>
          <w:tcPr>
            <w:tcW w:w="6237" w:type="dxa"/>
            <w:hideMark/>
          </w:tcPr>
          <w:p w14:paraId="7701BD38" w14:textId="77777777" w:rsidR="0009609E" w:rsidRPr="00D811E2" w:rsidRDefault="0009609E" w:rsidP="0009609E">
            <w:pPr>
              <w:spacing w:after="120"/>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Ēnu ekonomikas apkarošanas un nodokļu administrēšanas uzlabošanas pasākumi t.sk. :</w:t>
            </w:r>
          </w:p>
          <w:p w14:paraId="18C5150B" w14:textId="77777777" w:rsidR="0009609E" w:rsidRPr="00D811E2" w:rsidRDefault="0009609E" w:rsidP="008920E5">
            <w:pPr>
              <w:numPr>
                <w:ilvl w:val="0"/>
                <w:numId w:val="15"/>
              </w:numPr>
              <w:spacing w:after="120"/>
              <w:contextualSpacing/>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informācijas publiskošana par nodokļu maksātāju samaksāto nodokļu apmēru;</w:t>
            </w:r>
          </w:p>
          <w:p w14:paraId="5BC4F8AC" w14:textId="77777777" w:rsidR="0009609E" w:rsidRPr="00D811E2" w:rsidRDefault="0009609E" w:rsidP="008920E5">
            <w:pPr>
              <w:numPr>
                <w:ilvl w:val="0"/>
                <w:numId w:val="15"/>
              </w:numPr>
              <w:spacing w:after="120"/>
              <w:contextualSpacing/>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informācijas apmaiņas procesa uzlabošana starp finanšu iestādēm un Valsts ieņēmumu dienestu;</w:t>
            </w:r>
          </w:p>
          <w:p w14:paraId="2E84C8BC" w14:textId="77777777" w:rsidR="0009609E" w:rsidRPr="00D811E2" w:rsidRDefault="0009609E" w:rsidP="008920E5">
            <w:pPr>
              <w:numPr>
                <w:ilvl w:val="0"/>
                <w:numId w:val="15"/>
              </w:numPr>
              <w:spacing w:after="120"/>
              <w:contextualSpacing/>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biedrību un nodibinājumu saimnieciskās darbības nodalīšana no darbības, kurai ir peļņas gūšanas mērķis;</w:t>
            </w:r>
          </w:p>
          <w:p w14:paraId="37159D81" w14:textId="77777777" w:rsidR="0009609E" w:rsidRPr="00D811E2" w:rsidRDefault="0009609E" w:rsidP="008920E5">
            <w:pPr>
              <w:numPr>
                <w:ilvl w:val="0"/>
                <w:numId w:val="15"/>
              </w:numPr>
              <w:spacing w:after="120"/>
              <w:contextualSpacing/>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informatīvās deklarācijas ieviešana patērētāju kreditētājiem;</w:t>
            </w:r>
          </w:p>
          <w:p w14:paraId="53482319" w14:textId="77777777" w:rsidR="0009609E" w:rsidRPr="00D811E2" w:rsidRDefault="0009609E" w:rsidP="008920E5">
            <w:pPr>
              <w:numPr>
                <w:ilvl w:val="0"/>
                <w:numId w:val="15"/>
              </w:numPr>
              <w:spacing w:after="120"/>
              <w:contextualSpacing/>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Uzņēmumu reģistra rīcības noteikšana pēc informācijas saņemšanas no Valsts ieņēmumu dienesta par riska adresēm;</w:t>
            </w:r>
          </w:p>
          <w:p w14:paraId="117749A1" w14:textId="77777777" w:rsidR="0009609E" w:rsidRPr="00D811E2" w:rsidRDefault="0009609E" w:rsidP="008920E5">
            <w:pPr>
              <w:numPr>
                <w:ilvl w:val="0"/>
                <w:numId w:val="15"/>
              </w:numPr>
              <w:spacing w:after="120"/>
              <w:contextualSpacing/>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riska personu kritēriju noteikšana (ārvalstnieka – uzņēmuma amatpersonas sasniedzamība);</w:t>
            </w:r>
          </w:p>
          <w:p w14:paraId="28506D45" w14:textId="77777777" w:rsidR="0009609E" w:rsidRPr="00D811E2" w:rsidRDefault="0009609E" w:rsidP="008920E5">
            <w:pPr>
              <w:numPr>
                <w:ilvl w:val="0"/>
                <w:numId w:val="15"/>
              </w:numPr>
              <w:spacing w:after="120"/>
              <w:contextualSpacing/>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noteiktos gadījumos valdes loceklim personiskās atbildības noteikšana par kapitālsabiedrības nokavētajiem nodokļu maksājumiem;</w:t>
            </w:r>
          </w:p>
          <w:p w14:paraId="307CCA5B" w14:textId="77777777" w:rsidR="0009609E" w:rsidRPr="00D811E2" w:rsidRDefault="0009609E" w:rsidP="008920E5">
            <w:pPr>
              <w:numPr>
                <w:ilvl w:val="0"/>
                <w:numId w:val="15"/>
              </w:numPr>
              <w:spacing w:after="120"/>
              <w:contextualSpacing/>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noteiktos gadījumos aizlieguma noteikšana nodokļu parādniekam veikt skaidras naudas darījumus;</w:t>
            </w:r>
          </w:p>
          <w:p w14:paraId="3E6BDA2D" w14:textId="77777777" w:rsidR="0009609E" w:rsidRPr="00D811E2" w:rsidRDefault="0009609E" w:rsidP="008920E5">
            <w:pPr>
              <w:numPr>
                <w:ilvl w:val="0"/>
                <w:numId w:val="15"/>
              </w:numPr>
              <w:spacing w:after="120"/>
              <w:contextualSpacing/>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akcīzes nodokļa noteikšana tabakas lapām;</w:t>
            </w:r>
          </w:p>
          <w:p w14:paraId="4A9DD760" w14:textId="77777777" w:rsidR="0009609E" w:rsidRPr="00D811E2" w:rsidRDefault="0009609E" w:rsidP="008920E5">
            <w:pPr>
              <w:numPr>
                <w:ilvl w:val="0"/>
                <w:numId w:val="15"/>
              </w:numPr>
              <w:spacing w:after="120"/>
              <w:contextualSpacing/>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akcīzes nodokļa atbrīvojumu un atvieglojumu pārskatīšana</w:t>
            </w:r>
          </w:p>
        </w:tc>
        <w:tc>
          <w:tcPr>
            <w:tcW w:w="945" w:type="dxa"/>
            <w:vAlign w:val="center"/>
            <w:hideMark/>
          </w:tcPr>
          <w:p w14:paraId="245C4E5A" w14:textId="77777777" w:rsidR="0009609E" w:rsidRPr="00D811E2" w:rsidRDefault="0009609E" w:rsidP="00D811E2">
            <w:pPr>
              <w:spacing w:after="12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53,9</w:t>
            </w:r>
          </w:p>
        </w:tc>
        <w:tc>
          <w:tcPr>
            <w:tcW w:w="945" w:type="dxa"/>
            <w:vAlign w:val="center"/>
            <w:hideMark/>
          </w:tcPr>
          <w:p w14:paraId="04368952" w14:textId="77777777" w:rsidR="0009609E" w:rsidRPr="00D811E2" w:rsidRDefault="0009609E" w:rsidP="00D811E2">
            <w:pPr>
              <w:spacing w:after="12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52,6</w:t>
            </w:r>
          </w:p>
        </w:tc>
        <w:tc>
          <w:tcPr>
            <w:tcW w:w="945" w:type="dxa"/>
            <w:vAlign w:val="center"/>
            <w:hideMark/>
          </w:tcPr>
          <w:p w14:paraId="3B3ED23A" w14:textId="77777777" w:rsidR="0009609E" w:rsidRPr="00D811E2" w:rsidRDefault="0009609E" w:rsidP="00D811E2">
            <w:pPr>
              <w:spacing w:after="12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52,0</w:t>
            </w:r>
          </w:p>
        </w:tc>
      </w:tr>
      <w:tr w:rsidR="00D811E2" w:rsidRPr="00D811E2" w14:paraId="7EFBC230" w14:textId="77777777" w:rsidTr="00032492">
        <w:trPr>
          <w:trHeight w:val="255"/>
          <w:jc w:val="center"/>
        </w:trPr>
        <w:tc>
          <w:tcPr>
            <w:tcW w:w="6237" w:type="dxa"/>
            <w:vAlign w:val="center"/>
          </w:tcPr>
          <w:p w14:paraId="34D962FA" w14:textId="77777777" w:rsidR="0009609E" w:rsidRPr="00D811E2" w:rsidRDefault="0009609E" w:rsidP="00A35E0B">
            <w:pPr>
              <w:spacing w:after="120"/>
              <w:rPr>
                <w:rFonts w:ascii="Times New Roman" w:hAnsi="Times New Roman" w:cs="Times New Roman"/>
                <w:color w:val="auto"/>
                <w:sz w:val="20"/>
                <w:szCs w:val="20"/>
              </w:rPr>
            </w:pPr>
            <w:r w:rsidRPr="00D811E2">
              <w:rPr>
                <w:rFonts w:ascii="Times New Roman" w:hAnsi="Times New Roman" w:cs="Times New Roman"/>
                <w:color w:val="auto"/>
                <w:sz w:val="20"/>
                <w:szCs w:val="20"/>
              </w:rPr>
              <w:t>Valsts kapitālsabiedrību dividenžu likmes paaugstināšana</w:t>
            </w:r>
          </w:p>
        </w:tc>
        <w:tc>
          <w:tcPr>
            <w:tcW w:w="945" w:type="dxa"/>
            <w:vAlign w:val="center"/>
          </w:tcPr>
          <w:p w14:paraId="12B6E245"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10,3</w:t>
            </w:r>
          </w:p>
        </w:tc>
        <w:tc>
          <w:tcPr>
            <w:tcW w:w="945" w:type="dxa"/>
            <w:vAlign w:val="center"/>
          </w:tcPr>
          <w:p w14:paraId="0D13358E"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55,6</w:t>
            </w:r>
          </w:p>
        </w:tc>
        <w:tc>
          <w:tcPr>
            <w:tcW w:w="945" w:type="dxa"/>
            <w:vAlign w:val="center"/>
          </w:tcPr>
          <w:p w14:paraId="34FA3CD0"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w:t>
            </w:r>
          </w:p>
        </w:tc>
      </w:tr>
      <w:tr w:rsidR="00D811E2" w:rsidRPr="00D811E2" w14:paraId="6F7BB78E" w14:textId="77777777" w:rsidTr="00032492">
        <w:trPr>
          <w:cnfStyle w:val="000000100000" w:firstRow="0" w:lastRow="0" w:firstColumn="0" w:lastColumn="0" w:oddVBand="0" w:evenVBand="0" w:oddHBand="1" w:evenHBand="0" w:firstRowFirstColumn="0" w:firstRowLastColumn="0" w:lastRowFirstColumn="0" w:lastRowLastColumn="0"/>
          <w:trHeight w:val="319"/>
          <w:jc w:val="center"/>
        </w:trPr>
        <w:tc>
          <w:tcPr>
            <w:tcW w:w="6237" w:type="dxa"/>
            <w:vAlign w:val="center"/>
          </w:tcPr>
          <w:p w14:paraId="1B55A858" w14:textId="77777777" w:rsidR="0009609E" w:rsidRPr="00D811E2" w:rsidRDefault="0009609E" w:rsidP="00A35E0B">
            <w:pPr>
              <w:spacing w:after="120"/>
              <w:rPr>
                <w:rFonts w:ascii="Times New Roman" w:hAnsi="Times New Roman" w:cs="Times New Roman"/>
                <w:color w:val="auto"/>
                <w:sz w:val="20"/>
                <w:szCs w:val="20"/>
              </w:rPr>
            </w:pPr>
            <w:r w:rsidRPr="00D811E2">
              <w:rPr>
                <w:rFonts w:ascii="Times New Roman" w:hAnsi="Times New Roman" w:cs="Times New Roman"/>
                <w:color w:val="auto"/>
                <w:sz w:val="20"/>
                <w:szCs w:val="20"/>
              </w:rPr>
              <w:t xml:space="preserve">Minimālās darba algas paaugstināšana </w:t>
            </w:r>
          </w:p>
        </w:tc>
        <w:tc>
          <w:tcPr>
            <w:tcW w:w="945" w:type="dxa"/>
            <w:vAlign w:val="center"/>
          </w:tcPr>
          <w:p w14:paraId="40280A04"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23,4</w:t>
            </w:r>
          </w:p>
        </w:tc>
        <w:tc>
          <w:tcPr>
            <w:tcW w:w="945" w:type="dxa"/>
            <w:vAlign w:val="center"/>
          </w:tcPr>
          <w:p w14:paraId="5B151152"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23,4</w:t>
            </w:r>
          </w:p>
        </w:tc>
        <w:tc>
          <w:tcPr>
            <w:tcW w:w="945" w:type="dxa"/>
            <w:vAlign w:val="center"/>
          </w:tcPr>
          <w:p w14:paraId="524656C5"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23,4</w:t>
            </w:r>
          </w:p>
        </w:tc>
      </w:tr>
      <w:tr w:rsidR="00D811E2" w:rsidRPr="00D811E2" w14:paraId="6413DE99" w14:textId="77777777" w:rsidTr="00032492">
        <w:trPr>
          <w:trHeight w:val="242"/>
          <w:jc w:val="center"/>
        </w:trPr>
        <w:tc>
          <w:tcPr>
            <w:tcW w:w="6237" w:type="dxa"/>
            <w:vAlign w:val="center"/>
          </w:tcPr>
          <w:p w14:paraId="783DA351" w14:textId="77777777" w:rsidR="0009609E" w:rsidRPr="00D811E2" w:rsidRDefault="0009609E" w:rsidP="00A35E0B">
            <w:pPr>
              <w:spacing w:after="120"/>
              <w:rPr>
                <w:rFonts w:ascii="Times New Roman" w:hAnsi="Times New Roman" w:cs="Times New Roman"/>
                <w:color w:val="auto"/>
                <w:sz w:val="20"/>
                <w:szCs w:val="20"/>
              </w:rPr>
            </w:pPr>
            <w:r w:rsidRPr="00D811E2">
              <w:rPr>
                <w:rFonts w:ascii="Times New Roman" w:hAnsi="Times New Roman" w:cs="Times New Roman"/>
                <w:color w:val="auto"/>
                <w:sz w:val="20"/>
                <w:szCs w:val="20"/>
              </w:rPr>
              <w:t>Ārvalstu pensionāru neapliekamā minimuma piemērošanas izmaiņas</w:t>
            </w:r>
          </w:p>
        </w:tc>
        <w:tc>
          <w:tcPr>
            <w:tcW w:w="945" w:type="dxa"/>
            <w:vAlign w:val="center"/>
          </w:tcPr>
          <w:p w14:paraId="6FAF4772"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0,4</w:t>
            </w:r>
          </w:p>
        </w:tc>
        <w:tc>
          <w:tcPr>
            <w:tcW w:w="945" w:type="dxa"/>
            <w:vAlign w:val="center"/>
          </w:tcPr>
          <w:p w14:paraId="3254C558"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0,4</w:t>
            </w:r>
          </w:p>
        </w:tc>
        <w:tc>
          <w:tcPr>
            <w:tcW w:w="945" w:type="dxa"/>
            <w:vAlign w:val="center"/>
          </w:tcPr>
          <w:p w14:paraId="79238E37"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0,4</w:t>
            </w:r>
          </w:p>
        </w:tc>
      </w:tr>
      <w:tr w:rsidR="00D811E2" w:rsidRPr="00D811E2" w14:paraId="275F1752" w14:textId="77777777" w:rsidTr="00032492">
        <w:trPr>
          <w:cnfStyle w:val="000000100000" w:firstRow="0" w:lastRow="0" w:firstColumn="0" w:lastColumn="0" w:oddVBand="0" w:evenVBand="0" w:oddHBand="1" w:evenHBand="0" w:firstRowFirstColumn="0" w:firstRowLastColumn="0" w:lastRowFirstColumn="0" w:lastRowLastColumn="0"/>
          <w:trHeight w:val="177"/>
          <w:jc w:val="center"/>
        </w:trPr>
        <w:tc>
          <w:tcPr>
            <w:tcW w:w="9072" w:type="dxa"/>
            <w:gridSpan w:val="4"/>
          </w:tcPr>
          <w:p w14:paraId="694F6EEB" w14:textId="77777777" w:rsidR="0009609E" w:rsidRPr="00D811E2" w:rsidRDefault="0009609E" w:rsidP="0009609E">
            <w:pPr>
              <w:spacing w:after="120"/>
              <w:jc w:val="center"/>
              <w:rPr>
                <w:rFonts w:ascii="Times New Roman" w:hAnsi="Times New Roman" w:cs="Times New Roman"/>
                <w:color w:val="auto"/>
                <w:sz w:val="20"/>
                <w:szCs w:val="20"/>
              </w:rPr>
            </w:pPr>
          </w:p>
        </w:tc>
      </w:tr>
      <w:tr w:rsidR="00D811E2" w:rsidRPr="00D811E2" w14:paraId="043A5AC2" w14:textId="77777777" w:rsidTr="00032492">
        <w:trPr>
          <w:trHeight w:val="490"/>
          <w:jc w:val="center"/>
        </w:trPr>
        <w:tc>
          <w:tcPr>
            <w:tcW w:w="6237" w:type="dxa"/>
            <w:vAlign w:val="center"/>
          </w:tcPr>
          <w:p w14:paraId="060E787D" w14:textId="77777777" w:rsidR="0009609E" w:rsidRPr="00D811E2" w:rsidRDefault="0009609E" w:rsidP="00D811E2">
            <w:pPr>
              <w:spacing w:after="120"/>
              <w:jc w:val="center"/>
              <w:rPr>
                <w:rFonts w:ascii="Times New Roman" w:hAnsi="Times New Roman" w:cs="Times New Roman"/>
                <w:color w:val="auto"/>
                <w:sz w:val="20"/>
                <w:szCs w:val="20"/>
              </w:rPr>
            </w:pPr>
            <w:r w:rsidRPr="00D811E2">
              <w:rPr>
                <w:rFonts w:ascii="Times New Roman" w:hAnsi="Times New Roman" w:cs="Times New Roman"/>
                <w:b/>
                <w:color w:val="auto"/>
                <w:sz w:val="20"/>
                <w:szCs w:val="20"/>
              </w:rPr>
              <w:t>Izdevumi</w:t>
            </w:r>
          </w:p>
        </w:tc>
        <w:tc>
          <w:tcPr>
            <w:tcW w:w="945" w:type="dxa"/>
            <w:vAlign w:val="center"/>
          </w:tcPr>
          <w:p w14:paraId="743102C3" w14:textId="77777777" w:rsidR="0009609E" w:rsidRPr="00D811E2" w:rsidRDefault="0009609E" w:rsidP="00D811E2">
            <w:pPr>
              <w:spacing w:after="120"/>
              <w:jc w:val="center"/>
              <w:rPr>
                <w:rFonts w:ascii="Times New Roman" w:hAnsi="Times New Roman" w:cs="Times New Roman"/>
                <w:b/>
                <w:color w:val="auto"/>
                <w:sz w:val="20"/>
                <w:szCs w:val="20"/>
              </w:rPr>
            </w:pPr>
            <w:r w:rsidRPr="00D811E2">
              <w:rPr>
                <w:rFonts w:ascii="Times New Roman" w:hAnsi="Times New Roman" w:cs="Times New Roman"/>
                <w:b/>
                <w:color w:val="auto"/>
                <w:sz w:val="20"/>
                <w:szCs w:val="20"/>
              </w:rPr>
              <w:t>2015</w:t>
            </w:r>
          </w:p>
        </w:tc>
        <w:tc>
          <w:tcPr>
            <w:tcW w:w="945" w:type="dxa"/>
            <w:vAlign w:val="center"/>
          </w:tcPr>
          <w:p w14:paraId="1743EB41" w14:textId="77777777" w:rsidR="0009609E" w:rsidRPr="00D811E2" w:rsidRDefault="0009609E" w:rsidP="00D811E2">
            <w:pPr>
              <w:spacing w:after="120"/>
              <w:jc w:val="center"/>
              <w:rPr>
                <w:rFonts w:ascii="Times New Roman" w:hAnsi="Times New Roman" w:cs="Times New Roman"/>
                <w:b/>
                <w:color w:val="auto"/>
                <w:sz w:val="20"/>
                <w:szCs w:val="20"/>
              </w:rPr>
            </w:pPr>
            <w:r w:rsidRPr="00D811E2">
              <w:rPr>
                <w:rFonts w:ascii="Times New Roman" w:hAnsi="Times New Roman" w:cs="Times New Roman"/>
                <w:b/>
                <w:color w:val="auto"/>
                <w:sz w:val="20"/>
                <w:szCs w:val="20"/>
              </w:rPr>
              <w:t>2016</w:t>
            </w:r>
          </w:p>
        </w:tc>
        <w:tc>
          <w:tcPr>
            <w:tcW w:w="945" w:type="dxa"/>
            <w:vAlign w:val="center"/>
          </w:tcPr>
          <w:p w14:paraId="23A4CC32" w14:textId="77777777" w:rsidR="0009609E" w:rsidRPr="00D811E2" w:rsidRDefault="0009609E" w:rsidP="00D811E2">
            <w:pPr>
              <w:spacing w:after="120"/>
              <w:jc w:val="center"/>
              <w:rPr>
                <w:rFonts w:ascii="Times New Roman" w:hAnsi="Times New Roman" w:cs="Times New Roman"/>
                <w:b/>
                <w:color w:val="auto"/>
                <w:sz w:val="20"/>
                <w:szCs w:val="20"/>
              </w:rPr>
            </w:pPr>
            <w:r w:rsidRPr="00D811E2">
              <w:rPr>
                <w:rFonts w:ascii="Times New Roman" w:hAnsi="Times New Roman" w:cs="Times New Roman"/>
                <w:b/>
                <w:color w:val="auto"/>
                <w:sz w:val="20"/>
                <w:szCs w:val="20"/>
              </w:rPr>
              <w:t>2017</w:t>
            </w:r>
          </w:p>
        </w:tc>
      </w:tr>
      <w:tr w:rsidR="00D811E2" w:rsidRPr="00D811E2" w14:paraId="7FBA0275" w14:textId="77777777" w:rsidTr="00032492">
        <w:trPr>
          <w:cnfStyle w:val="000000100000" w:firstRow="0" w:lastRow="0" w:firstColumn="0" w:lastColumn="0" w:oddVBand="0" w:evenVBand="0" w:oddHBand="1" w:evenHBand="0" w:firstRowFirstColumn="0" w:firstRowLastColumn="0" w:lastRowFirstColumn="0" w:lastRowLastColumn="0"/>
          <w:trHeight w:val="490"/>
          <w:jc w:val="center"/>
        </w:trPr>
        <w:tc>
          <w:tcPr>
            <w:tcW w:w="6237" w:type="dxa"/>
          </w:tcPr>
          <w:p w14:paraId="4DB8679E" w14:textId="77777777" w:rsidR="0009609E" w:rsidRPr="00D811E2" w:rsidRDefault="0009609E" w:rsidP="0009609E">
            <w:pPr>
              <w:spacing w:after="120"/>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 xml:space="preserve">ZM  -  pārejas posma valsts atbalsta un investīciju veicināšanas pasākumi lauksaimniecībā </w:t>
            </w:r>
          </w:p>
        </w:tc>
        <w:tc>
          <w:tcPr>
            <w:tcW w:w="945" w:type="dxa"/>
            <w:vAlign w:val="center"/>
          </w:tcPr>
          <w:p w14:paraId="366BF982" w14:textId="77777777" w:rsidR="0009609E" w:rsidRPr="00D811E2" w:rsidRDefault="0009609E" w:rsidP="00D811E2">
            <w:pPr>
              <w:spacing w:after="12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33,0</w:t>
            </w:r>
          </w:p>
        </w:tc>
        <w:tc>
          <w:tcPr>
            <w:tcW w:w="945" w:type="dxa"/>
            <w:vAlign w:val="center"/>
          </w:tcPr>
          <w:p w14:paraId="674FB349" w14:textId="77777777" w:rsidR="0009609E" w:rsidRPr="00D811E2" w:rsidRDefault="0009609E" w:rsidP="00D811E2">
            <w:pPr>
              <w:spacing w:after="12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26,2</w:t>
            </w:r>
          </w:p>
        </w:tc>
        <w:tc>
          <w:tcPr>
            <w:tcW w:w="945" w:type="dxa"/>
            <w:vAlign w:val="center"/>
          </w:tcPr>
          <w:p w14:paraId="779DE729" w14:textId="77777777" w:rsidR="0009609E" w:rsidRPr="00D811E2" w:rsidRDefault="0009609E" w:rsidP="00D811E2">
            <w:pPr>
              <w:spacing w:after="12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1,6</w:t>
            </w:r>
          </w:p>
        </w:tc>
      </w:tr>
      <w:tr w:rsidR="00D811E2" w:rsidRPr="00D811E2" w14:paraId="695EA238" w14:textId="77777777" w:rsidTr="00032492">
        <w:trPr>
          <w:trHeight w:val="1269"/>
          <w:jc w:val="center"/>
        </w:trPr>
        <w:tc>
          <w:tcPr>
            <w:tcW w:w="6237" w:type="dxa"/>
          </w:tcPr>
          <w:p w14:paraId="1DFD385E" w14:textId="77777777" w:rsidR="0009609E" w:rsidRPr="00D811E2" w:rsidRDefault="0009609E" w:rsidP="0009609E">
            <w:pPr>
              <w:spacing w:after="120"/>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 xml:space="preserve">SM - piešķirtais papildu finansējums, tai skaitā: </w:t>
            </w:r>
          </w:p>
          <w:p w14:paraId="16683D5A" w14:textId="77777777" w:rsidR="0009609E" w:rsidRPr="00D811E2" w:rsidRDefault="0009609E" w:rsidP="008920E5">
            <w:pPr>
              <w:numPr>
                <w:ilvl w:val="0"/>
                <w:numId w:val="16"/>
              </w:numPr>
              <w:spacing w:after="120"/>
              <w:contextualSpacing/>
              <w:jc w:val="both"/>
              <w:rPr>
                <w:rFonts w:ascii="Times New Roman" w:hAnsi="Times New Roman" w:cs="Times New Roman"/>
                <w:color w:val="auto"/>
                <w:sz w:val="20"/>
                <w:szCs w:val="20"/>
                <w:lang w:val="x-none" w:eastAsia="x-none"/>
              </w:rPr>
            </w:pPr>
            <w:r w:rsidRPr="00D811E2">
              <w:rPr>
                <w:rFonts w:ascii="Times New Roman" w:hAnsi="Times New Roman" w:cs="Times New Roman"/>
                <w:color w:val="auto"/>
                <w:sz w:val="20"/>
                <w:szCs w:val="20"/>
                <w:lang w:val="x-none" w:eastAsia="x-none"/>
              </w:rPr>
              <w:t xml:space="preserve">finansējums JPI (mērķdotācijām pašvaldību autoceļu uzturēšanai un sabiedriskā transporta pakalpojumu īstenošanai) </w:t>
            </w:r>
          </w:p>
          <w:p w14:paraId="380658F2" w14:textId="77777777" w:rsidR="0009609E" w:rsidRPr="00D811E2" w:rsidRDefault="0009609E" w:rsidP="008920E5">
            <w:pPr>
              <w:numPr>
                <w:ilvl w:val="0"/>
                <w:numId w:val="16"/>
              </w:numPr>
              <w:spacing w:after="120"/>
              <w:contextualSpacing/>
              <w:jc w:val="both"/>
              <w:rPr>
                <w:rFonts w:ascii="Times New Roman" w:hAnsi="Times New Roman" w:cs="Times New Roman"/>
                <w:color w:val="auto"/>
                <w:sz w:val="20"/>
                <w:szCs w:val="20"/>
                <w:lang w:val="x-none" w:eastAsia="x-none"/>
              </w:rPr>
            </w:pPr>
            <w:r w:rsidRPr="00D811E2">
              <w:rPr>
                <w:rFonts w:ascii="Times New Roman" w:hAnsi="Times New Roman" w:cs="Times New Roman"/>
                <w:color w:val="auto"/>
                <w:sz w:val="20"/>
                <w:szCs w:val="20"/>
                <w:lang w:val="x-none" w:eastAsia="x-none"/>
              </w:rPr>
              <w:t>papildu finansējums no ministrijas priekšlikumiem ieņēmumu palielināšanai</w:t>
            </w:r>
          </w:p>
        </w:tc>
        <w:tc>
          <w:tcPr>
            <w:tcW w:w="945" w:type="dxa"/>
          </w:tcPr>
          <w:p w14:paraId="668F1F0B" w14:textId="77777777" w:rsidR="0009609E" w:rsidRPr="00D811E2" w:rsidRDefault="0009609E" w:rsidP="00A35E0B">
            <w:pPr>
              <w:spacing w:after="24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30,7</w:t>
            </w:r>
          </w:p>
          <w:p w14:paraId="695668D9" w14:textId="77777777" w:rsidR="0009609E" w:rsidRPr="00D811E2" w:rsidRDefault="0009609E" w:rsidP="00A35E0B">
            <w:pPr>
              <w:spacing w:after="24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12,1</w:t>
            </w:r>
          </w:p>
          <w:p w14:paraId="536E0A05" w14:textId="77777777" w:rsidR="0009609E" w:rsidRPr="00D811E2" w:rsidRDefault="0009609E" w:rsidP="00A35E0B">
            <w:pPr>
              <w:spacing w:after="24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18,6</w:t>
            </w:r>
          </w:p>
        </w:tc>
        <w:tc>
          <w:tcPr>
            <w:tcW w:w="945" w:type="dxa"/>
          </w:tcPr>
          <w:p w14:paraId="3F833D14" w14:textId="77777777" w:rsidR="0009609E" w:rsidRPr="00D811E2" w:rsidRDefault="0009609E" w:rsidP="00A35E0B">
            <w:pPr>
              <w:spacing w:after="24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27,0</w:t>
            </w:r>
          </w:p>
          <w:p w14:paraId="107B47B5" w14:textId="77777777" w:rsidR="0009609E" w:rsidRPr="00D811E2" w:rsidRDefault="0009609E" w:rsidP="00A35E0B">
            <w:pPr>
              <w:spacing w:after="24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12,1</w:t>
            </w:r>
          </w:p>
          <w:p w14:paraId="4E6896DD" w14:textId="77777777" w:rsidR="0009609E" w:rsidRPr="00D811E2" w:rsidRDefault="0009609E" w:rsidP="00A35E0B">
            <w:pPr>
              <w:spacing w:after="24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14,9</w:t>
            </w:r>
          </w:p>
        </w:tc>
        <w:tc>
          <w:tcPr>
            <w:tcW w:w="945" w:type="dxa"/>
          </w:tcPr>
          <w:p w14:paraId="1D7086C3" w14:textId="77777777" w:rsidR="0009609E" w:rsidRPr="00D811E2" w:rsidRDefault="0009609E" w:rsidP="00A35E0B">
            <w:pPr>
              <w:spacing w:after="24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27,0</w:t>
            </w:r>
          </w:p>
          <w:p w14:paraId="5D46BFB9" w14:textId="77777777" w:rsidR="0009609E" w:rsidRPr="00D811E2" w:rsidRDefault="0009609E" w:rsidP="00A35E0B">
            <w:pPr>
              <w:spacing w:after="24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12,1</w:t>
            </w:r>
          </w:p>
          <w:p w14:paraId="7C266E33" w14:textId="77777777" w:rsidR="0009609E" w:rsidRPr="00D811E2" w:rsidRDefault="0009609E" w:rsidP="00A35E0B">
            <w:pPr>
              <w:spacing w:after="240"/>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14,9</w:t>
            </w:r>
          </w:p>
        </w:tc>
      </w:tr>
      <w:tr w:rsidR="00D811E2" w:rsidRPr="00D811E2" w14:paraId="34CC55EC" w14:textId="77777777" w:rsidTr="00032492">
        <w:trPr>
          <w:cnfStyle w:val="000000100000" w:firstRow="0" w:lastRow="0" w:firstColumn="0" w:lastColumn="0" w:oddVBand="0" w:evenVBand="0" w:oddHBand="1" w:evenHBand="0" w:firstRowFirstColumn="0" w:firstRowLastColumn="0" w:lastRowFirstColumn="0" w:lastRowLastColumn="0"/>
          <w:trHeight w:val="353"/>
          <w:jc w:val="center"/>
        </w:trPr>
        <w:tc>
          <w:tcPr>
            <w:tcW w:w="6237" w:type="dxa"/>
          </w:tcPr>
          <w:p w14:paraId="6E823CBF" w14:textId="77777777" w:rsidR="0009609E" w:rsidRPr="00D811E2" w:rsidRDefault="0009609E" w:rsidP="0009609E">
            <w:pPr>
              <w:spacing w:after="120"/>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VM  -  veselības nozares finansēšana</w:t>
            </w:r>
          </w:p>
        </w:tc>
        <w:tc>
          <w:tcPr>
            <w:tcW w:w="945" w:type="dxa"/>
            <w:vAlign w:val="center"/>
          </w:tcPr>
          <w:p w14:paraId="156155A3"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30,6</w:t>
            </w:r>
          </w:p>
        </w:tc>
        <w:tc>
          <w:tcPr>
            <w:tcW w:w="945" w:type="dxa"/>
            <w:vAlign w:val="center"/>
          </w:tcPr>
          <w:p w14:paraId="521F1792"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30,6</w:t>
            </w:r>
          </w:p>
        </w:tc>
        <w:tc>
          <w:tcPr>
            <w:tcW w:w="945" w:type="dxa"/>
            <w:vAlign w:val="center"/>
          </w:tcPr>
          <w:p w14:paraId="0DD80F36"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30,6</w:t>
            </w:r>
          </w:p>
        </w:tc>
      </w:tr>
      <w:tr w:rsidR="00D811E2" w:rsidRPr="00D811E2" w14:paraId="77622D78" w14:textId="77777777" w:rsidTr="00032492">
        <w:trPr>
          <w:trHeight w:val="147"/>
          <w:jc w:val="center"/>
        </w:trPr>
        <w:tc>
          <w:tcPr>
            <w:tcW w:w="6237" w:type="dxa"/>
          </w:tcPr>
          <w:p w14:paraId="1E090744" w14:textId="77777777" w:rsidR="0009609E" w:rsidRPr="00D811E2" w:rsidRDefault="0009609E" w:rsidP="0009609E">
            <w:pPr>
              <w:spacing w:after="120"/>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AIM – Valsts aizsardzības finansēšanas likuma nodrošināšana</w:t>
            </w:r>
          </w:p>
        </w:tc>
        <w:tc>
          <w:tcPr>
            <w:tcW w:w="945" w:type="dxa"/>
            <w:vAlign w:val="center"/>
          </w:tcPr>
          <w:p w14:paraId="5B688EF2"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19,3</w:t>
            </w:r>
          </w:p>
        </w:tc>
        <w:tc>
          <w:tcPr>
            <w:tcW w:w="945" w:type="dxa"/>
            <w:vAlign w:val="center"/>
          </w:tcPr>
          <w:p w14:paraId="5540D28C"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63,8</w:t>
            </w:r>
          </w:p>
        </w:tc>
        <w:tc>
          <w:tcPr>
            <w:tcW w:w="945" w:type="dxa"/>
            <w:vAlign w:val="center"/>
          </w:tcPr>
          <w:p w14:paraId="32DA2FA2"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136,2</w:t>
            </w:r>
          </w:p>
        </w:tc>
      </w:tr>
      <w:tr w:rsidR="00D811E2" w:rsidRPr="00D811E2" w14:paraId="1EAE6AD7" w14:textId="77777777" w:rsidTr="00032492">
        <w:trPr>
          <w:cnfStyle w:val="000000100000" w:firstRow="0" w:lastRow="0" w:firstColumn="0" w:lastColumn="0" w:oddVBand="0" w:evenVBand="0" w:oddHBand="1" w:evenHBand="0" w:firstRowFirstColumn="0" w:firstRowLastColumn="0" w:lastRowFirstColumn="0" w:lastRowLastColumn="0"/>
          <w:trHeight w:val="650"/>
          <w:jc w:val="center"/>
        </w:trPr>
        <w:tc>
          <w:tcPr>
            <w:tcW w:w="6237" w:type="dxa"/>
          </w:tcPr>
          <w:p w14:paraId="0C7749B6" w14:textId="77777777" w:rsidR="0009609E" w:rsidRPr="00D811E2" w:rsidRDefault="0009609E" w:rsidP="0009609E">
            <w:pPr>
              <w:spacing w:after="120"/>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 xml:space="preserve">Minimālās mēneša darba algas paaugstināšana līdz 360 </w:t>
            </w:r>
            <w:r w:rsidRPr="00D811E2">
              <w:rPr>
                <w:rFonts w:ascii="Times New Roman" w:hAnsi="Times New Roman" w:cs="Times New Roman"/>
                <w:i/>
                <w:color w:val="auto"/>
                <w:sz w:val="20"/>
                <w:szCs w:val="20"/>
              </w:rPr>
              <w:t>euro</w:t>
            </w:r>
            <w:r w:rsidRPr="00D811E2">
              <w:rPr>
                <w:rFonts w:ascii="Times New Roman" w:hAnsi="Times New Roman" w:cs="Times New Roman"/>
                <w:color w:val="auto"/>
                <w:sz w:val="20"/>
                <w:szCs w:val="20"/>
              </w:rPr>
              <w:t xml:space="preserve"> un mēneša darba algas skalu minimuma korekcijai ar 2015.gada 1.janvāri (izņemot VM un KM kapitālsabiedrības)</w:t>
            </w:r>
          </w:p>
        </w:tc>
        <w:tc>
          <w:tcPr>
            <w:tcW w:w="945" w:type="dxa"/>
            <w:vAlign w:val="center"/>
          </w:tcPr>
          <w:p w14:paraId="57537AFF"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8,2</w:t>
            </w:r>
          </w:p>
        </w:tc>
        <w:tc>
          <w:tcPr>
            <w:tcW w:w="945" w:type="dxa"/>
            <w:vAlign w:val="center"/>
          </w:tcPr>
          <w:p w14:paraId="38A26519"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8,2</w:t>
            </w:r>
          </w:p>
        </w:tc>
        <w:tc>
          <w:tcPr>
            <w:tcW w:w="945" w:type="dxa"/>
            <w:vAlign w:val="center"/>
          </w:tcPr>
          <w:p w14:paraId="490D4F77"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8,2</w:t>
            </w:r>
          </w:p>
        </w:tc>
      </w:tr>
      <w:tr w:rsidR="00D811E2" w:rsidRPr="00D811E2" w14:paraId="25CA8BB9" w14:textId="77777777" w:rsidTr="00032492">
        <w:trPr>
          <w:trHeight w:val="96"/>
          <w:jc w:val="center"/>
        </w:trPr>
        <w:tc>
          <w:tcPr>
            <w:tcW w:w="6237" w:type="dxa"/>
          </w:tcPr>
          <w:p w14:paraId="24456F15" w14:textId="77777777" w:rsidR="0009609E" w:rsidRPr="00D811E2" w:rsidRDefault="0009609E" w:rsidP="0009609E">
            <w:pPr>
              <w:spacing w:after="120"/>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FM  -  ēnu ekonomikas apkarošanas pasākumi</w:t>
            </w:r>
          </w:p>
        </w:tc>
        <w:tc>
          <w:tcPr>
            <w:tcW w:w="945" w:type="dxa"/>
            <w:vAlign w:val="center"/>
          </w:tcPr>
          <w:p w14:paraId="16C33C38"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6,6</w:t>
            </w:r>
          </w:p>
        </w:tc>
        <w:tc>
          <w:tcPr>
            <w:tcW w:w="945" w:type="dxa"/>
            <w:vAlign w:val="center"/>
          </w:tcPr>
          <w:p w14:paraId="5AE9DDAD"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6,6</w:t>
            </w:r>
          </w:p>
        </w:tc>
        <w:tc>
          <w:tcPr>
            <w:tcW w:w="945" w:type="dxa"/>
            <w:vAlign w:val="center"/>
          </w:tcPr>
          <w:p w14:paraId="58EA0B90"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6,6</w:t>
            </w:r>
          </w:p>
        </w:tc>
      </w:tr>
      <w:tr w:rsidR="00D811E2" w:rsidRPr="00D811E2" w14:paraId="7C6847EF" w14:textId="77777777" w:rsidTr="00032492">
        <w:trPr>
          <w:cnfStyle w:val="000000100000" w:firstRow="0" w:lastRow="0" w:firstColumn="0" w:lastColumn="0" w:oddVBand="0" w:evenVBand="0" w:oddHBand="1" w:evenHBand="0" w:firstRowFirstColumn="0" w:firstRowLastColumn="0" w:lastRowFirstColumn="0" w:lastRowLastColumn="0"/>
          <w:trHeight w:val="309"/>
          <w:jc w:val="center"/>
        </w:trPr>
        <w:tc>
          <w:tcPr>
            <w:tcW w:w="6237" w:type="dxa"/>
          </w:tcPr>
          <w:p w14:paraId="665F0E13" w14:textId="77777777" w:rsidR="0009609E" w:rsidRPr="00D811E2" w:rsidRDefault="0009609E" w:rsidP="0009609E">
            <w:pPr>
              <w:spacing w:after="120"/>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64.resors -  dotācija pašvaldībām</w:t>
            </w:r>
          </w:p>
        </w:tc>
        <w:tc>
          <w:tcPr>
            <w:tcW w:w="945" w:type="dxa"/>
            <w:vAlign w:val="center"/>
          </w:tcPr>
          <w:p w14:paraId="67ABCEE2"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6,5</w:t>
            </w:r>
          </w:p>
        </w:tc>
        <w:tc>
          <w:tcPr>
            <w:tcW w:w="945" w:type="dxa"/>
            <w:vAlign w:val="center"/>
          </w:tcPr>
          <w:p w14:paraId="452CA817" w14:textId="77777777" w:rsidR="0009609E" w:rsidRPr="00D811E2" w:rsidRDefault="0009609E" w:rsidP="004C7E0F">
            <w:pPr>
              <w:jc w:val="right"/>
              <w:rPr>
                <w:rFonts w:ascii="Times New Roman" w:hAnsi="Times New Roman" w:cs="Times New Roman"/>
                <w:color w:val="auto"/>
                <w:sz w:val="20"/>
                <w:szCs w:val="20"/>
              </w:rPr>
            </w:pPr>
          </w:p>
        </w:tc>
        <w:tc>
          <w:tcPr>
            <w:tcW w:w="945" w:type="dxa"/>
            <w:vAlign w:val="center"/>
          </w:tcPr>
          <w:p w14:paraId="5D395B16" w14:textId="77777777" w:rsidR="0009609E" w:rsidRPr="00D811E2" w:rsidRDefault="0009609E" w:rsidP="004C7E0F">
            <w:pPr>
              <w:jc w:val="right"/>
              <w:rPr>
                <w:rFonts w:ascii="Times New Roman" w:hAnsi="Times New Roman" w:cs="Times New Roman"/>
                <w:color w:val="auto"/>
                <w:sz w:val="20"/>
                <w:szCs w:val="20"/>
              </w:rPr>
            </w:pPr>
          </w:p>
        </w:tc>
      </w:tr>
      <w:tr w:rsidR="00D811E2" w:rsidRPr="00D811E2" w14:paraId="2F903F9E" w14:textId="77777777" w:rsidTr="00032492">
        <w:trPr>
          <w:trHeight w:val="490"/>
          <w:jc w:val="center"/>
        </w:trPr>
        <w:tc>
          <w:tcPr>
            <w:tcW w:w="6237" w:type="dxa"/>
          </w:tcPr>
          <w:p w14:paraId="479CA013" w14:textId="77777777" w:rsidR="0009609E" w:rsidRPr="00D811E2" w:rsidRDefault="0009609E" w:rsidP="0009609E">
            <w:pPr>
              <w:spacing w:after="120"/>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 xml:space="preserve">IEM  -  uz vienlīdzīgiem principiem balstītas atlīdzības nodrošināšana </w:t>
            </w:r>
          </w:p>
        </w:tc>
        <w:tc>
          <w:tcPr>
            <w:tcW w:w="945" w:type="dxa"/>
            <w:vAlign w:val="center"/>
          </w:tcPr>
          <w:p w14:paraId="5EB5C34E"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6,5</w:t>
            </w:r>
          </w:p>
        </w:tc>
        <w:tc>
          <w:tcPr>
            <w:tcW w:w="945" w:type="dxa"/>
            <w:vAlign w:val="center"/>
          </w:tcPr>
          <w:p w14:paraId="7E126F55"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6,5</w:t>
            </w:r>
          </w:p>
        </w:tc>
        <w:tc>
          <w:tcPr>
            <w:tcW w:w="945" w:type="dxa"/>
            <w:vAlign w:val="center"/>
          </w:tcPr>
          <w:p w14:paraId="24461494"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6,5</w:t>
            </w:r>
          </w:p>
        </w:tc>
      </w:tr>
      <w:tr w:rsidR="00D811E2" w:rsidRPr="00D811E2" w14:paraId="5BE7F678" w14:textId="77777777" w:rsidTr="00032492">
        <w:trPr>
          <w:cnfStyle w:val="000000100000" w:firstRow="0" w:lastRow="0" w:firstColumn="0" w:lastColumn="0" w:oddVBand="0" w:evenVBand="0" w:oddHBand="1" w:evenHBand="0" w:firstRowFirstColumn="0" w:firstRowLastColumn="0" w:lastRowFirstColumn="0" w:lastRowLastColumn="0"/>
          <w:trHeight w:val="488"/>
          <w:jc w:val="center"/>
        </w:trPr>
        <w:tc>
          <w:tcPr>
            <w:tcW w:w="6237" w:type="dxa"/>
          </w:tcPr>
          <w:p w14:paraId="4BE55FAC" w14:textId="77777777" w:rsidR="0009609E" w:rsidRPr="00D811E2" w:rsidRDefault="0009609E" w:rsidP="0009609E">
            <w:pPr>
              <w:spacing w:after="120"/>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IZM  - valsts budžeta dotācijas atjaunošana zinātniskās darbības attīstības nodrošinājumam augstskolās un koledžās</w:t>
            </w:r>
          </w:p>
        </w:tc>
        <w:tc>
          <w:tcPr>
            <w:tcW w:w="945" w:type="dxa"/>
            <w:vAlign w:val="center"/>
          </w:tcPr>
          <w:p w14:paraId="39942A11"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4,0</w:t>
            </w:r>
          </w:p>
        </w:tc>
        <w:tc>
          <w:tcPr>
            <w:tcW w:w="945" w:type="dxa"/>
            <w:vAlign w:val="center"/>
          </w:tcPr>
          <w:p w14:paraId="041EAD30"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5,0</w:t>
            </w:r>
          </w:p>
        </w:tc>
        <w:tc>
          <w:tcPr>
            <w:tcW w:w="945" w:type="dxa"/>
            <w:vAlign w:val="center"/>
          </w:tcPr>
          <w:p w14:paraId="27E6CA34"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5,0</w:t>
            </w:r>
          </w:p>
        </w:tc>
      </w:tr>
      <w:tr w:rsidR="00D811E2" w:rsidRPr="00D811E2" w14:paraId="0789AD61" w14:textId="77777777" w:rsidTr="00032492">
        <w:trPr>
          <w:trHeight w:val="454"/>
          <w:jc w:val="center"/>
        </w:trPr>
        <w:tc>
          <w:tcPr>
            <w:tcW w:w="6237" w:type="dxa"/>
          </w:tcPr>
          <w:p w14:paraId="6CE741AB" w14:textId="77777777" w:rsidR="0009609E" w:rsidRPr="00D811E2" w:rsidRDefault="0009609E" w:rsidP="0009609E">
            <w:pPr>
              <w:spacing w:after="120"/>
              <w:jc w:val="both"/>
              <w:rPr>
                <w:rFonts w:ascii="Times New Roman" w:hAnsi="Times New Roman" w:cs="Times New Roman"/>
                <w:color w:val="auto"/>
                <w:sz w:val="20"/>
                <w:szCs w:val="20"/>
              </w:rPr>
            </w:pPr>
            <w:r w:rsidRPr="00D811E2">
              <w:rPr>
                <w:rFonts w:ascii="Times New Roman" w:hAnsi="Times New Roman" w:cs="Times New Roman"/>
                <w:color w:val="auto"/>
                <w:sz w:val="20"/>
                <w:szCs w:val="20"/>
              </w:rPr>
              <w:t xml:space="preserve">LM  -  asistenta pakalpojuma personām ar invaliditāti nodrošināšana pašvaldībām </w:t>
            </w:r>
          </w:p>
        </w:tc>
        <w:tc>
          <w:tcPr>
            <w:tcW w:w="945" w:type="dxa"/>
            <w:vAlign w:val="center"/>
          </w:tcPr>
          <w:p w14:paraId="7ECF226C"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3,0</w:t>
            </w:r>
          </w:p>
        </w:tc>
        <w:tc>
          <w:tcPr>
            <w:tcW w:w="945" w:type="dxa"/>
            <w:vAlign w:val="center"/>
          </w:tcPr>
          <w:p w14:paraId="6B687940"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3,0</w:t>
            </w:r>
          </w:p>
        </w:tc>
        <w:tc>
          <w:tcPr>
            <w:tcW w:w="945" w:type="dxa"/>
            <w:vAlign w:val="center"/>
          </w:tcPr>
          <w:p w14:paraId="22007B5F" w14:textId="77777777" w:rsidR="0009609E" w:rsidRPr="00D811E2" w:rsidRDefault="0009609E" w:rsidP="004C7E0F">
            <w:pPr>
              <w:jc w:val="right"/>
              <w:rPr>
                <w:rFonts w:ascii="Times New Roman" w:hAnsi="Times New Roman" w:cs="Times New Roman"/>
                <w:color w:val="auto"/>
                <w:sz w:val="20"/>
                <w:szCs w:val="20"/>
              </w:rPr>
            </w:pPr>
            <w:r w:rsidRPr="00D811E2">
              <w:rPr>
                <w:rFonts w:ascii="Times New Roman" w:hAnsi="Times New Roman" w:cs="Times New Roman"/>
                <w:color w:val="auto"/>
                <w:sz w:val="20"/>
                <w:szCs w:val="20"/>
              </w:rPr>
              <w:t>3,0</w:t>
            </w:r>
          </w:p>
        </w:tc>
      </w:tr>
    </w:tbl>
    <w:p w14:paraId="35686D19" w14:textId="404DCB67" w:rsidR="0009609E" w:rsidRPr="00CC6037" w:rsidRDefault="0009609E" w:rsidP="0057255A">
      <w:pPr>
        <w:spacing w:before="320" w:after="120" w:line="240" w:lineRule="auto"/>
        <w:ind w:firstLine="720"/>
        <w:jc w:val="both"/>
        <w:rPr>
          <w:rFonts w:ascii="Times New Roman" w:eastAsia="Calibri" w:hAnsi="Times New Roman" w:cs="Times New Roman"/>
          <w:b/>
          <w:color w:val="000000"/>
          <w:sz w:val="24"/>
          <w:szCs w:val="24"/>
        </w:rPr>
      </w:pPr>
      <w:r w:rsidRPr="0057255A">
        <w:rPr>
          <w:rFonts w:ascii="Times New Roman" w:eastAsia="Calibri" w:hAnsi="Times New Roman" w:cs="Times New Roman"/>
          <w:b/>
          <w:color w:val="000000"/>
          <w:sz w:val="24"/>
          <w:szCs w:val="24"/>
        </w:rPr>
        <w:t xml:space="preserve">Fiskāli nozīmīgākās strukturālās reformas </w:t>
      </w:r>
      <w:r w:rsidR="00C10259">
        <w:rPr>
          <w:rFonts w:ascii="Times New Roman" w:eastAsia="Calibri" w:hAnsi="Times New Roman" w:cs="Times New Roman"/>
          <w:b/>
          <w:color w:val="000000"/>
          <w:sz w:val="24"/>
          <w:szCs w:val="24"/>
        </w:rPr>
        <w:t>Regulas Nr. 1175/2011 izpratnē</w:t>
      </w:r>
    </w:p>
    <w:p w14:paraId="022E1F45" w14:textId="77777777" w:rsidR="0009609E" w:rsidRPr="0009609E" w:rsidRDefault="0009609E" w:rsidP="00CC6037">
      <w:pPr>
        <w:spacing w:after="120" w:line="240" w:lineRule="auto"/>
        <w:ind w:firstLine="720"/>
        <w:jc w:val="both"/>
        <w:rPr>
          <w:rFonts w:ascii="Times New Roman" w:eastAsia="Calibri" w:hAnsi="Times New Roman" w:cs="Times New Roman"/>
          <w:b/>
          <w:i/>
          <w:color w:val="000000"/>
          <w:sz w:val="24"/>
          <w:szCs w:val="24"/>
        </w:rPr>
      </w:pPr>
      <w:r w:rsidRPr="0009609E">
        <w:rPr>
          <w:rFonts w:ascii="Times New Roman" w:eastAsia="Calibri" w:hAnsi="Times New Roman" w:cs="Times New Roman"/>
          <w:b/>
          <w:i/>
          <w:color w:val="000000"/>
          <w:sz w:val="24"/>
          <w:szCs w:val="24"/>
        </w:rPr>
        <w:t>Pensiju sistēmas reforma</w:t>
      </w:r>
    </w:p>
    <w:p w14:paraId="3E37184C" w14:textId="77777777" w:rsidR="004C7E0F" w:rsidRPr="0009609E" w:rsidRDefault="004C7E0F" w:rsidP="004C7E0F">
      <w:pPr>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2012.gadā tika veikti grozījumi Valsts fondēto pensiju likumā, kas paredz pakāpeniskāku iemaksu likmes paaugstināšanu pensiju sistēmas 2.līmenī, t.i. 2013.-2014.gadā 4%, 2015.gadā 5% un 2016.gadā 6%. Politika netiek mainīta. Pamatojoties uz to Latvija turpina izmantot SIP noteiktās iespējas novirzīties no VTM, īstenojot šīs strukturālās reformas.</w:t>
      </w:r>
    </w:p>
    <w:p w14:paraId="62ABFC7D" w14:textId="77777777" w:rsidR="004C7E0F" w:rsidRPr="0009609E" w:rsidRDefault="004C7E0F" w:rsidP="004C7E0F">
      <w:pPr>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Pensiju reforma, tomēr ir plašāka un ietver arī citus pasākumus, bez iemaksu palielinājuma 2.pensiju līmenī.</w:t>
      </w:r>
    </w:p>
    <w:p w14:paraId="7B02424A" w14:textId="77777777" w:rsidR="004C7E0F" w:rsidRPr="0009609E" w:rsidRDefault="004C7E0F" w:rsidP="004C7E0F">
      <w:pPr>
        <w:spacing w:after="0" w:line="240" w:lineRule="auto"/>
        <w:ind w:firstLine="720"/>
        <w:contextualSpacing/>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Fiskāli ietilpīgākā strukturālās reformas ir saistītas ar pensiju sistēmas pilnveidošanu. 2012.gadā tika veikti grozījumi likumā „Par valsts pensijām”, kas paredz:</w:t>
      </w:r>
    </w:p>
    <w:p w14:paraId="20B60CE4" w14:textId="77777777" w:rsidR="004C7E0F" w:rsidRPr="0009609E" w:rsidRDefault="004C7E0F" w:rsidP="004C7E0F">
      <w:pPr>
        <w:numPr>
          <w:ilvl w:val="0"/>
          <w:numId w:val="13"/>
        </w:numPr>
        <w:spacing w:after="120" w:line="240" w:lineRule="auto"/>
        <w:contextualSpacing/>
        <w:jc w:val="both"/>
        <w:rPr>
          <w:rFonts w:ascii="Times New Roman" w:eastAsia="Times New Roman" w:hAnsi="Times New Roman" w:cs="Times New Roman"/>
          <w:sz w:val="24"/>
          <w:szCs w:val="24"/>
          <w:lang w:val="x-none" w:eastAsia="x-none"/>
        </w:rPr>
      </w:pPr>
      <w:r w:rsidRPr="0009609E">
        <w:rPr>
          <w:rFonts w:ascii="Times New Roman" w:eastAsia="Times New Roman" w:hAnsi="Times New Roman" w:cs="Times New Roman"/>
          <w:sz w:val="24"/>
          <w:szCs w:val="24"/>
          <w:lang w:val="x-none" w:eastAsia="x-none"/>
        </w:rPr>
        <w:t>Pensionēšanās vecuma pakāpenisku paaugstināšanu līdz 65 gadiem: ar 2014.gada 1.janvāri palielinājums katru gadu par 3 mēnešiem, sasniedzot pensionēšanās vecumu 65 gadi no 2025.gada 1.janvāra.</w:t>
      </w:r>
    </w:p>
    <w:p w14:paraId="031951FC" w14:textId="77777777" w:rsidR="004C7E0F" w:rsidRPr="0009609E" w:rsidRDefault="004C7E0F" w:rsidP="004C7E0F">
      <w:pPr>
        <w:numPr>
          <w:ilvl w:val="0"/>
          <w:numId w:val="13"/>
        </w:numPr>
        <w:spacing w:after="120" w:line="240" w:lineRule="auto"/>
        <w:contextualSpacing/>
        <w:jc w:val="both"/>
        <w:rPr>
          <w:rFonts w:ascii="Times New Roman" w:eastAsia="Times New Roman" w:hAnsi="Times New Roman" w:cs="Times New Roman"/>
          <w:sz w:val="24"/>
          <w:szCs w:val="24"/>
          <w:lang w:val="x-none" w:eastAsia="x-none"/>
        </w:rPr>
      </w:pPr>
      <w:r w:rsidRPr="0009609E">
        <w:rPr>
          <w:rFonts w:ascii="Times New Roman" w:eastAsia="Times New Roman" w:hAnsi="Times New Roman" w:cs="Times New Roman"/>
          <w:sz w:val="24"/>
          <w:szCs w:val="24"/>
          <w:lang w:val="x-none" w:eastAsia="x-none"/>
        </w:rPr>
        <w:t>Vienlaicīgi ar pensionēšanās vecuma paaugstināšanu, priekšlaicīgās pensionēšanās vecuma paaugstināšanu sākot ar 2014.gada 1.janvāri.</w:t>
      </w:r>
    </w:p>
    <w:p w14:paraId="7D6AEB23" w14:textId="77777777" w:rsidR="004C7E0F" w:rsidRPr="0009609E" w:rsidRDefault="004C7E0F" w:rsidP="004C7E0F">
      <w:pPr>
        <w:numPr>
          <w:ilvl w:val="0"/>
          <w:numId w:val="13"/>
        </w:numPr>
        <w:spacing w:after="0" w:line="240" w:lineRule="auto"/>
        <w:contextualSpacing/>
        <w:jc w:val="both"/>
        <w:rPr>
          <w:rFonts w:ascii="Times New Roman" w:eastAsia="Times New Roman" w:hAnsi="Times New Roman" w:cs="Times New Roman"/>
          <w:sz w:val="24"/>
          <w:szCs w:val="24"/>
          <w:lang w:val="x-none" w:eastAsia="x-none"/>
        </w:rPr>
      </w:pPr>
      <w:r w:rsidRPr="0009609E">
        <w:rPr>
          <w:rFonts w:ascii="Times New Roman" w:eastAsia="Times New Roman" w:hAnsi="Times New Roman" w:cs="Times New Roman"/>
          <w:sz w:val="24"/>
          <w:szCs w:val="24"/>
          <w:lang w:val="x-none" w:eastAsia="x-none"/>
        </w:rPr>
        <w:t>Minimālā apdrošināšanas stāža palielināšanu tiesībām uz valsts vecuma pensiju līdz 15 gadiem, sākot ar 2014.gada 1.janvāri, un līdz 20 gadiem, sākot ar 2025.gada 1.janvāri.</w:t>
      </w:r>
    </w:p>
    <w:p w14:paraId="09CB9F92" w14:textId="77777777" w:rsidR="004C7E0F" w:rsidRPr="0009609E" w:rsidRDefault="004C7E0F" w:rsidP="004C7E0F">
      <w:pPr>
        <w:spacing w:after="0" w:line="240" w:lineRule="auto"/>
        <w:contextualSpacing/>
        <w:jc w:val="both"/>
        <w:rPr>
          <w:rFonts w:ascii="Times New Roman" w:eastAsia="Times New Roman" w:hAnsi="Times New Roman" w:cs="Times New Roman"/>
          <w:sz w:val="24"/>
          <w:szCs w:val="24"/>
        </w:rPr>
      </w:pPr>
    </w:p>
    <w:p w14:paraId="63B56633" w14:textId="77777777" w:rsidR="004C7E0F" w:rsidRPr="0009609E" w:rsidRDefault="004C7E0F" w:rsidP="004C7E0F">
      <w:pPr>
        <w:spacing w:after="0" w:line="240" w:lineRule="auto"/>
        <w:ind w:firstLine="720"/>
        <w:contextualSpacing/>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2014.gada 3.aprīlī Saeima pieņēma likumu „Grozījumi likumā „Par valsts pensijām””, saskaņā ar kuru ir stājušās spēkā izmaiņas pensiju indeksācijas kārtībā, kas paredz:</w:t>
      </w:r>
    </w:p>
    <w:p w14:paraId="411E9B47" w14:textId="0A00BFA8" w:rsidR="004C7E0F" w:rsidRPr="0009609E" w:rsidRDefault="004C7E0F" w:rsidP="004C7E0F">
      <w:pPr>
        <w:numPr>
          <w:ilvl w:val="0"/>
          <w:numId w:val="14"/>
        </w:numPr>
        <w:spacing w:after="120" w:line="240" w:lineRule="auto"/>
        <w:contextualSpacing/>
        <w:jc w:val="both"/>
        <w:rPr>
          <w:rFonts w:ascii="Times New Roman" w:eastAsia="Times New Roman" w:hAnsi="Times New Roman" w:cs="Times New Roman"/>
          <w:color w:val="000000"/>
          <w:sz w:val="24"/>
          <w:szCs w:val="24"/>
          <w:lang w:val="x-none" w:eastAsia="x-none"/>
        </w:rPr>
      </w:pPr>
      <w:r w:rsidRPr="0009609E">
        <w:rPr>
          <w:rFonts w:ascii="Times New Roman" w:eastAsia="Times New Roman" w:hAnsi="Times New Roman" w:cs="Times New Roman"/>
          <w:color w:val="000000"/>
          <w:sz w:val="24"/>
          <w:szCs w:val="24"/>
          <w:lang w:val="x-none" w:eastAsia="x-none"/>
        </w:rPr>
        <w:t>2014.gada 1.oktobrī indeksēt valsts pensijas vai tās daļas apmēru, kas nepārsniedz 285 </w:t>
      </w:r>
      <w:r w:rsidR="00DB1EE8">
        <w:rPr>
          <w:rFonts w:ascii="Times New Roman" w:eastAsia="Times New Roman" w:hAnsi="Times New Roman" w:cs="Times New Roman"/>
          <w:i/>
          <w:color w:val="000000"/>
          <w:sz w:val="24"/>
          <w:szCs w:val="24"/>
          <w:lang w:eastAsia="x-none"/>
        </w:rPr>
        <w:t>euro</w:t>
      </w:r>
      <w:r w:rsidRPr="0009609E">
        <w:rPr>
          <w:rFonts w:ascii="Times New Roman" w:eastAsia="Times New Roman" w:hAnsi="Times New Roman" w:cs="Times New Roman"/>
          <w:color w:val="000000"/>
          <w:sz w:val="24"/>
          <w:szCs w:val="24"/>
          <w:lang w:val="x-none" w:eastAsia="x-none"/>
        </w:rPr>
        <w:t>, ņemot vērā faktisko patēriņa cenu indeksu un 25% no apdrošināšanas iemaksu algas reālā pieauguma procentiem.</w:t>
      </w:r>
    </w:p>
    <w:p w14:paraId="4E37CA15" w14:textId="5CBF474C" w:rsidR="004C7E0F" w:rsidRPr="003F7B43" w:rsidRDefault="004C7E0F" w:rsidP="003F7B43">
      <w:pPr>
        <w:numPr>
          <w:ilvl w:val="0"/>
          <w:numId w:val="14"/>
        </w:numPr>
        <w:spacing w:after="60" w:line="240" w:lineRule="auto"/>
        <w:jc w:val="both"/>
        <w:rPr>
          <w:rFonts w:ascii="Times New Roman" w:eastAsia="Times New Roman" w:hAnsi="Times New Roman" w:cs="Times New Roman"/>
          <w:sz w:val="24"/>
          <w:szCs w:val="24"/>
          <w:lang w:val="x-none" w:eastAsia="x-none"/>
        </w:rPr>
      </w:pPr>
      <w:r w:rsidRPr="0009609E">
        <w:rPr>
          <w:rFonts w:ascii="Times New Roman" w:eastAsia="Times New Roman" w:hAnsi="Times New Roman" w:cs="Times New Roman"/>
          <w:color w:val="000000"/>
          <w:sz w:val="24"/>
          <w:szCs w:val="24"/>
          <w:lang w:val="x-none" w:eastAsia="x-none"/>
        </w:rPr>
        <w:t xml:space="preserve">turpmāk indeksēt reizi gadā 1.oktobrī valsts pensijas vai tās daļas apmēru, kas nepārsniedz 50% no iepriekšējā kalendārā gada vidējās apdrošināšanas iemaksu algas valstī (noapaļotu līdz veseliem </w:t>
      </w:r>
      <w:r w:rsidR="00A142DE">
        <w:rPr>
          <w:rFonts w:ascii="Times New Roman" w:eastAsia="Times New Roman" w:hAnsi="Times New Roman" w:cs="Times New Roman"/>
          <w:i/>
          <w:color w:val="000000"/>
          <w:sz w:val="24"/>
          <w:szCs w:val="24"/>
          <w:lang w:eastAsia="x-none"/>
        </w:rPr>
        <w:t>euro</w:t>
      </w:r>
      <w:r w:rsidRPr="0009609E">
        <w:rPr>
          <w:rFonts w:ascii="Times New Roman" w:eastAsia="Times New Roman" w:hAnsi="Times New Roman" w:cs="Times New Roman"/>
          <w:color w:val="000000"/>
          <w:sz w:val="24"/>
          <w:szCs w:val="24"/>
          <w:lang w:val="x-none" w:eastAsia="x-none"/>
        </w:rPr>
        <w:t xml:space="preserve">), ņemot vērā faktisko patēriņa cenu indeksu un 25% </w:t>
      </w:r>
      <w:r w:rsidRPr="003F7B43">
        <w:rPr>
          <w:rFonts w:ascii="Times New Roman" w:eastAsia="Times New Roman" w:hAnsi="Times New Roman" w:cs="Times New Roman"/>
          <w:sz w:val="24"/>
          <w:szCs w:val="24"/>
          <w:lang w:val="x-none" w:eastAsia="x-none"/>
        </w:rPr>
        <w:t>no apdrošināšanas iemaksu algas reālā pieauguma procentiem.</w:t>
      </w:r>
    </w:p>
    <w:p w14:paraId="13941938" w14:textId="423AAF7C" w:rsidR="003C2897" w:rsidRPr="003C2897" w:rsidRDefault="003C2897" w:rsidP="003C2897">
      <w:pPr>
        <w:spacing w:after="60" w:line="240" w:lineRule="auto"/>
        <w:ind w:firstLine="720"/>
        <w:jc w:val="both"/>
        <w:rPr>
          <w:rFonts w:ascii="Times New Roman" w:eastAsia="Times New Roman" w:hAnsi="Times New Roman" w:cs="Times New Roman"/>
          <w:sz w:val="24"/>
          <w:szCs w:val="24"/>
        </w:rPr>
      </w:pPr>
      <w:r w:rsidRPr="003C2897">
        <w:rPr>
          <w:rFonts w:ascii="Times New Roman" w:eastAsia="Times New Roman" w:hAnsi="Times New Roman" w:cs="Times New Roman"/>
          <w:sz w:val="24"/>
          <w:szCs w:val="24"/>
        </w:rPr>
        <w:t>Augstāk minēto izmaiņu pensiju indeksācijas kārtībā fiskālā ietekme uz vispārējās valdības budžeta bilanci, salīdzinot ar likumu „Par vidēja termiņa budžeta ietvaru 2014., 2015. un 2016.gad</w:t>
      </w:r>
      <w:r>
        <w:rPr>
          <w:rFonts w:ascii="Times New Roman" w:eastAsia="Times New Roman" w:hAnsi="Times New Roman" w:cs="Times New Roman"/>
          <w:sz w:val="24"/>
          <w:szCs w:val="24"/>
        </w:rPr>
        <w:t>am”, tika novērtēta attiecīgi 0,</w:t>
      </w:r>
      <w:r w:rsidRPr="003C2897">
        <w:rPr>
          <w:rFonts w:ascii="Times New Roman" w:eastAsia="Times New Roman" w:hAnsi="Times New Roman" w:cs="Times New Roman"/>
          <w:sz w:val="24"/>
          <w:szCs w:val="24"/>
        </w:rPr>
        <w:t>01% no IKP 2014.gadā, 0,04% no IKP 2015.gadā un 0,08% no IKP 2016.gadā. Ņemot vērā novērtēto fiskālās ietekmes apmēru var secināt, ka būtisku ietekmi uz publisko finanšu ilgtspēju šīs izmaiņas neatstās</w:t>
      </w:r>
      <w:r>
        <w:rPr>
          <w:rFonts w:ascii="Times New Roman" w:eastAsia="Times New Roman" w:hAnsi="Times New Roman" w:cs="Times New Roman"/>
          <w:sz w:val="24"/>
          <w:szCs w:val="24"/>
        </w:rPr>
        <w:t>,</w:t>
      </w:r>
      <w:r w:rsidRPr="003C2897">
        <w:rPr>
          <w:rFonts w:ascii="Times New Roman" w:eastAsia="Times New Roman" w:hAnsi="Times New Roman" w:cs="Times New Roman"/>
          <w:sz w:val="24"/>
          <w:szCs w:val="24"/>
        </w:rPr>
        <w:t xml:space="preserve"> kā arī</w:t>
      </w:r>
      <w:r>
        <w:rPr>
          <w:rFonts w:ascii="Times New Roman" w:eastAsia="Times New Roman" w:hAnsi="Times New Roman" w:cs="Times New Roman"/>
          <w:sz w:val="24"/>
          <w:szCs w:val="24"/>
        </w:rPr>
        <w:t xml:space="preserve"> iespējams</w:t>
      </w:r>
      <w:r w:rsidRPr="003C2897">
        <w:rPr>
          <w:rFonts w:ascii="Times New Roman" w:eastAsia="Times New Roman" w:hAnsi="Times New Roman" w:cs="Times New Roman"/>
          <w:sz w:val="24"/>
          <w:szCs w:val="24"/>
        </w:rPr>
        <w:t xml:space="preserve"> nemainīs nākamā EK Fiskālās ilgtspējas ziņojuma (</w:t>
      </w:r>
      <w:r w:rsidRPr="003C2897">
        <w:rPr>
          <w:rFonts w:ascii="Times New Roman" w:eastAsia="Times New Roman" w:hAnsi="Times New Roman" w:cs="Times New Roman"/>
          <w:i/>
          <w:sz w:val="24"/>
          <w:szCs w:val="24"/>
        </w:rPr>
        <w:t>Fiscal Sustainability Report</w:t>
      </w:r>
      <w:r w:rsidRPr="003C2897">
        <w:rPr>
          <w:rFonts w:ascii="Times New Roman" w:eastAsia="Times New Roman" w:hAnsi="Times New Roman" w:cs="Times New Roman"/>
          <w:sz w:val="24"/>
          <w:szCs w:val="24"/>
        </w:rPr>
        <w:t xml:space="preserve">) secinājumus par Latviju kā valsti ar zemu risku attiecībā uz publisko finanšu ilgtspēju. </w:t>
      </w:r>
    </w:p>
    <w:p w14:paraId="5EFD5A57" w14:textId="77777777" w:rsidR="00CC6037" w:rsidRPr="00CC6037" w:rsidRDefault="00CC6037" w:rsidP="00CC6037">
      <w:pPr>
        <w:spacing w:after="120" w:line="240" w:lineRule="auto"/>
        <w:ind w:left="360"/>
        <w:contextualSpacing/>
        <w:jc w:val="both"/>
        <w:rPr>
          <w:rFonts w:ascii="Times New Roman" w:eastAsia="Times New Roman" w:hAnsi="Times New Roman" w:cs="Times New Roman"/>
          <w:color w:val="000000"/>
          <w:sz w:val="24"/>
          <w:szCs w:val="24"/>
          <w:lang w:val="x-none" w:eastAsia="x-none"/>
        </w:rPr>
      </w:pPr>
    </w:p>
    <w:p w14:paraId="769A2AD8" w14:textId="77777777" w:rsidR="0009609E" w:rsidRPr="0009609E" w:rsidRDefault="0009609E" w:rsidP="00C10259">
      <w:pPr>
        <w:spacing w:after="120" w:line="240" w:lineRule="auto"/>
        <w:ind w:firstLine="720"/>
        <w:jc w:val="both"/>
        <w:rPr>
          <w:rFonts w:ascii="Times New Roman" w:eastAsia="Calibri" w:hAnsi="Times New Roman" w:cs="Times New Roman"/>
          <w:b/>
          <w:i/>
          <w:color w:val="000000"/>
          <w:sz w:val="24"/>
          <w:szCs w:val="24"/>
        </w:rPr>
      </w:pPr>
      <w:r w:rsidRPr="0009609E">
        <w:rPr>
          <w:rFonts w:ascii="Times New Roman" w:eastAsia="Calibri" w:hAnsi="Times New Roman" w:cs="Times New Roman"/>
          <w:b/>
          <w:i/>
          <w:color w:val="000000"/>
          <w:sz w:val="24"/>
          <w:szCs w:val="24"/>
        </w:rPr>
        <w:t>Veselības sistēmas reforma</w:t>
      </w:r>
    </w:p>
    <w:p w14:paraId="063B8914" w14:textId="5F0B788A" w:rsidR="00904AE5" w:rsidRDefault="00904AE5" w:rsidP="00904AE5">
      <w:pPr>
        <w:spacing w:after="6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Ar šo Stabilitātes programmu Latvija piesaka veselības sistēmas reformu kā būtisku strukturālo reformu ar ilgtermiņa pozitīvu efektu uz publisko finanšu ilgtspēju, nolūkā attiecināt uz šo reformu iespēju novirzīties no VTM saskaņā ar EK komunikāciju par elastības piemērošanu SIP īstenošanā. </w:t>
      </w:r>
    </w:p>
    <w:p w14:paraId="1F40F305" w14:textId="3CFA37FA" w:rsidR="009267FC" w:rsidRPr="009267FC" w:rsidRDefault="009267FC" w:rsidP="009267FC">
      <w:pPr>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 xml:space="preserve">Veselības sistēmas uzlabošana ir viens no būtiskākajiem uzdevumiem, lai sekmētu dzīves kvalitāti un palielinātu potenciālo izaugsmi. </w:t>
      </w:r>
    </w:p>
    <w:p w14:paraId="19B7D4BF" w14:textId="77777777" w:rsidR="009267FC" w:rsidRPr="009267FC" w:rsidRDefault="009267FC" w:rsidP="009267FC">
      <w:pPr>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Latvijas veselības sistēmas vājās puses galvenokārt saistītas ar šādiem rādītājiem:</w:t>
      </w:r>
    </w:p>
    <w:p w14:paraId="3C695344" w14:textId="16357CE6" w:rsidR="009267FC" w:rsidRPr="009267FC" w:rsidRDefault="009267FC" w:rsidP="008920E5">
      <w:pPr>
        <w:pStyle w:val="ListParagraph"/>
        <w:numPr>
          <w:ilvl w:val="0"/>
          <w:numId w:val="27"/>
        </w:numPr>
        <w:spacing w:after="60" w:line="240" w:lineRule="auto"/>
        <w:ind w:left="1276"/>
        <w:jc w:val="both"/>
        <w:rPr>
          <w:rFonts w:ascii="Times New Roman" w:eastAsiaTheme="minorHAnsi" w:hAnsi="Times New Roman" w:cs="Times New Roman"/>
          <w:sz w:val="24"/>
          <w:szCs w:val="24"/>
        </w:rPr>
      </w:pPr>
      <w:r w:rsidRPr="009267FC">
        <w:rPr>
          <w:rFonts w:ascii="Times New Roman" w:eastAsiaTheme="minorHAnsi" w:hAnsi="Times New Roman" w:cs="Times New Roman"/>
          <w:b/>
          <w:sz w:val="24"/>
          <w:szCs w:val="24"/>
        </w:rPr>
        <w:t>Zems publiskais finansējums</w:t>
      </w:r>
      <w:r w:rsidRPr="009267FC">
        <w:rPr>
          <w:rFonts w:ascii="Times New Roman" w:eastAsiaTheme="minorHAnsi" w:hAnsi="Times New Roman" w:cs="Times New Roman"/>
          <w:sz w:val="24"/>
          <w:szCs w:val="24"/>
        </w:rPr>
        <w:t xml:space="preserve">. Publiskais finansējums veselībai </w:t>
      </w:r>
      <w:r w:rsidR="00656E6E">
        <w:rPr>
          <w:rFonts w:ascii="Times New Roman" w:eastAsiaTheme="minorHAnsi" w:hAnsi="Times New Roman" w:cs="Times New Roman"/>
          <w:sz w:val="24"/>
          <w:szCs w:val="24"/>
        </w:rPr>
        <w:t>procentos</w:t>
      </w:r>
      <w:r w:rsidRPr="009267FC">
        <w:rPr>
          <w:rFonts w:ascii="Times New Roman" w:eastAsiaTheme="minorHAnsi" w:hAnsi="Times New Roman" w:cs="Times New Roman"/>
          <w:sz w:val="24"/>
          <w:szCs w:val="24"/>
        </w:rPr>
        <w:t xml:space="preserve"> pret IKP ir būtiski zemāks par vidējo rādītāju ES un norāda uz nepietiekamu finansējumu šai nozarei.</w:t>
      </w:r>
    </w:p>
    <w:p w14:paraId="2FAC342A" w14:textId="6606C981" w:rsidR="009267FC" w:rsidRPr="009267FC" w:rsidRDefault="009267FC" w:rsidP="008920E5">
      <w:pPr>
        <w:pStyle w:val="ListParagraph"/>
        <w:numPr>
          <w:ilvl w:val="0"/>
          <w:numId w:val="27"/>
        </w:numPr>
        <w:spacing w:after="60" w:line="240" w:lineRule="auto"/>
        <w:ind w:left="1276"/>
        <w:jc w:val="both"/>
        <w:rPr>
          <w:rFonts w:ascii="Times New Roman" w:eastAsiaTheme="minorHAnsi" w:hAnsi="Times New Roman" w:cs="Times New Roman"/>
          <w:sz w:val="24"/>
          <w:szCs w:val="24"/>
        </w:rPr>
      </w:pPr>
      <w:r w:rsidRPr="009267FC">
        <w:rPr>
          <w:rFonts w:ascii="Times New Roman" w:eastAsiaTheme="minorHAnsi" w:hAnsi="Times New Roman" w:cs="Times New Roman"/>
          <w:b/>
          <w:sz w:val="24"/>
          <w:szCs w:val="24"/>
        </w:rPr>
        <w:t>Nevienlīdzība.</w:t>
      </w:r>
      <w:r w:rsidRPr="009267FC">
        <w:rPr>
          <w:rFonts w:ascii="Times New Roman" w:eastAsiaTheme="minorHAnsi" w:hAnsi="Times New Roman" w:cs="Times New Roman"/>
          <w:sz w:val="24"/>
          <w:szCs w:val="24"/>
        </w:rPr>
        <w:t xml:space="preserve"> Publiskā finansējuma īpatsvars kopējā veselības sistēmas finansējumā ir viens no zemākajiem ES. Tas nozīmē, ka ārstniecības pakalpojumu pieejamība vair</w:t>
      </w:r>
      <w:r w:rsidR="00656E6E">
        <w:rPr>
          <w:rFonts w:ascii="Times New Roman" w:eastAsiaTheme="minorHAnsi" w:hAnsi="Times New Roman" w:cs="Times New Roman"/>
          <w:sz w:val="24"/>
          <w:szCs w:val="24"/>
        </w:rPr>
        <w:t>āk kā citās valstīs</w:t>
      </w:r>
      <w:r w:rsidRPr="009267FC">
        <w:rPr>
          <w:rFonts w:ascii="Times New Roman" w:eastAsiaTheme="minorHAnsi" w:hAnsi="Times New Roman" w:cs="Times New Roman"/>
          <w:sz w:val="24"/>
          <w:szCs w:val="24"/>
        </w:rPr>
        <w:t xml:space="preserve"> ir atkarīga no personas ienākumiem. Latvijā daļa iedzīvotāju šo apstākļu dēļ nevar piekļūt veselības aprūpei, kad tā ir nepieciešama. 2013.gada </w:t>
      </w:r>
      <w:r w:rsidR="00780B40">
        <w:rPr>
          <w:rFonts w:ascii="Times New Roman" w:eastAsiaTheme="minorHAnsi" w:hAnsi="Times New Roman" w:cs="Times New Roman"/>
          <w:sz w:val="24"/>
          <w:szCs w:val="24"/>
        </w:rPr>
        <w:t>ES Statistikas par ienākumiem un dzīves apstākļiem (</w:t>
      </w:r>
      <w:r w:rsidRPr="009267FC">
        <w:rPr>
          <w:rFonts w:ascii="Times New Roman" w:eastAsiaTheme="minorHAnsi" w:hAnsi="Times New Roman" w:cs="Times New Roman"/>
          <w:sz w:val="24"/>
          <w:szCs w:val="24"/>
        </w:rPr>
        <w:t>EU SILC</w:t>
      </w:r>
      <w:r w:rsidR="00780B40">
        <w:rPr>
          <w:rFonts w:ascii="Times New Roman" w:eastAsiaTheme="minorHAnsi" w:hAnsi="Times New Roman" w:cs="Times New Roman"/>
          <w:sz w:val="24"/>
          <w:szCs w:val="24"/>
        </w:rPr>
        <w:t xml:space="preserve">) </w:t>
      </w:r>
      <w:r w:rsidRPr="009267FC">
        <w:rPr>
          <w:rFonts w:ascii="Times New Roman" w:eastAsiaTheme="minorHAnsi" w:hAnsi="Times New Roman" w:cs="Times New Roman"/>
          <w:sz w:val="24"/>
          <w:szCs w:val="24"/>
        </w:rPr>
        <w:t xml:space="preserve">iedzīvotāju aptaujā 20% respondentu Latvijā atbildējuši, ka nav apmeklējuši veselības aprūpes speciālistu, lai gan ir bijusi nepieciešamība. No šiem respondentiem, 60% iemesls bijis tas, ka medicīniskos izmeklējumus nevar atļauties </w:t>
      </w:r>
      <w:r w:rsidRPr="00656E6E">
        <w:rPr>
          <w:rFonts w:ascii="Times New Roman" w:eastAsiaTheme="minorHAnsi" w:hAnsi="Times New Roman" w:cs="Times New Roman"/>
          <w:sz w:val="24"/>
          <w:szCs w:val="24"/>
        </w:rPr>
        <w:t>finansiāli.</w:t>
      </w:r>
      <w:r w:rsidRPr="00656E6E">
        <w:rPr>
          <w:rFonts w:ascii="Times New Roman" w:eastAsiaTheme="minorHAnsi" w:hAnsi="Times New Roman" w:cs="Times New Roman"/>
          <w:sz w:val="24"/>
          <w:szCs w:val="24"/>
          <w:vertAlign w:val="superscript"/>
        </w:rPr>
        <w:footnoteReference w:id="11"/>
      </w:r>
      <w:r w:rsidRPr="00656E6E">
        <w:rPr>
          <w:rFonts w:ascii="Times New Roman" w:eastAsiaTheme="minorHAnsi" w:hAnsi="Times New Roman" w:cs="Times New Roman"/>
          <w:sz w:val="24"/>
          <w:szCs w:val="24"/>
        </w:rPr>
        <w:t xml:space="preserve"> Šis ir augstākais rādītājs starp ES valstīm</w:t>
      </w:r>
      <w:r w:rsidRPr="00656E6E">
        <w:rPr>
          <w:rFonts w:ascii="Times New Roman" w:eastAsiaTheme="minorHAnsi" w:hAnsi="Times New Roman" w:cs="Times New Roman"/>
          <w:sz w:val="24"/>
          <w:szCs w:val="24"/>
          <w:vertAlign w:val="superscript"/>
        </w:rPr>
        <w:footnoteReference w:id="12"/>
      </w:r>
      <w:r w:rsidRPr="00656E6E">
        <w:rPr>
          <w:rFonts w:ascii="Times New Roman" w:eastAsiaTheme="minorHAnsi" w:hAnsi="Times New Roman" w:cs="Times New Roman"/>
          <w:sz w:val="24"/>
          <w:szCs w:val="24"/>
        </w:rPr>
        <w:t>.</w:t>
      </w:r>
      <w:r w:rsidRPr="009267FC">
        <w:rPr>
          <w:rFonts w:ascii="Times New Roman" w:eastAsiaTheme="minorHAnsi" w:hAnsi="Times New Roman" w:cs="Times New Roman"/>
          <w:sz w:val="24"/>
          <w:szCs w:val="24"/>
        </w:rPr>
        <w:t xml:space="preserve"> Tas liecina, ka zemākā ienākuma līmeņa mājsaimniecības ir lielākā mērā pakļautas riskam nesaņemt nepieciešamo medicīnisko palīdzību nekā citas.</w:t>
      </w:r>
    </w:p>
    <w:p w14:paraId="7C5A0EA3" w14:textId="1CC2C3ED" w:rsidR="009267FC" w:rsidRPr="009267FC" w:rsidRDefault="009267FC" w:rsidP="008920E5">
      <w:pPr>
        <w:pStyle w:val="ListParagraph"/>
        <w:numPr>
          <w:ilvl w:val="0"/>
          <w:numId w:val="27"/>
        </w:numPr>
        <w:spacing w:after="60" w:line="240" w:lineRule="auto"/>
        <w:ind w:left="1276"/>
        <w:jc w:val="both"/>
        <w:rPr>
          <w:rFonts w:ascii="Times New Roman" w:eastAsiaTheme="minorHAnsi" w:hAnsi="Times New Roman" w:cs="Times New Roman"/>
          <w:sz w:val="24"/>
          <w:szCs w:val="24"/>
        </w:rPr>
      </w:pPr>
      <w:r w:rsidRPr="009267FC">
        <w:rPr>
          <w:rFonts w:ascii="Times New Roman" w:eastAsiaTheme="minorHAnsi" w:hAnsi="Times New Roman" w:cs="Times New Roman"/>
          <w:b/>
          <w:sz w:val="24"/>
          <w:szCs w:val="24"/>
        </w:rPr>
        <w:t>Augsts veselības problēmu dēļ priekšlaicīgi mirušo skaits.</w:t>
      </w:r>
      <w:r w:rsidRPr="009267FC">
        <w:rPr>
          <w:rFonts w:ascii="Times New Roman" w:eastAsiaTheme="minorHAnsi" w:hAnsi="Times New Roman" w:cs="Times New Roman"/>
          <w:sz w:val="24"/>
          <w:szCs w:val="24"/>
        </w:rPr>
        <w:t xml:space="preserve"> 2012.gadā kopējais PZDG bija 5960 gadi uz 100 000 iedzīvotājiem, kas starp attīstītajām valstīm ir augsts rādītājs. Būtiska šī rādītāja daļa skai</w:t>
      </w:r>
      <w:r w:rsidR="00656E6E">
        <w:rPr>
          <w:rFonts w:ascii="Times New Roman" w:eastAsiaTheme="minorHAnsi" w:hAnsi="Times New Roman" w:cs="Times New Roman"/>
          <w:sz w:val="24"/>
          <w:szCs w:val="24"/>
        </w:rPr>
        <w:t>drojuma ar veselības problēmām.</w:t>
      </w:r>
    </w:p>
    <w:p w14:paraId="183EC26A" w14:textId="3E806A7D" w:rsidR="009267FC" w:rsidRPr="009267FC" w:rsidRDefault="009267FC" w:rsidP="009267FC">
      <w:pPr>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Jāatzīmē, ka šie faktori ir savstarpēji saistīti. Zems publiskā finansējuma līmenis rada nepieciešamību daļu no ārstniecības pakalpojumiem finansēt ar privāto finansējumu, bet tas, savukārt, tos iedzīvotāju</w:t>
      </w:r>
      <w:r w:rsidR="00656E6E">
        <w:rPr>
          <w:rFonts w:ascii="Times New Roman" w:eastAsiaTheme="minorHAnsi" w:hAnsi="Times New Roman" w:cs="Times New Roman"/>
          <w:sz w:val="24"/>
          <w:szCs w:val="24"/>
        </w:rPr>
        <w:t>s</w:t>
      </w:r>
      <w:r w:rsidRPr="009267FC">
        <w:rPr>
          <w:rFonts w:ascii="Times New Roman" w:eastAsiaTheme="minorHAnsi" w:hAnsi="Times New Roman" w:cs="Times New Roman"/>
          <w:sz w:val="24"/>
          <w:szCs w:val="24"/>
        </w:rPr>
        <w:t>, kas nevar atļauties</w:t>
      </w:r>
      <w:r w:rsidR="00656E6E">
        <w:rPr>
          <w:rFonts w:ascii="Times New Roman" w:eastAsiaTheme="minorHAnsi" w:hAnsi="Times New Roman" w:cs="Times New Roman"/>
          <w:sz w:val="24"/>
          <w:szCs w:val="24"/>
        </w:rPr>
        <w:t xml:space="preserve"> ieguldīt privāto finansējumu, </w:t>
      </w:r>
      <w:r w:rsidRPr="009267FC">
        <w:rPr>
          <w:rFonts w:ascii="Times New Roman" w:eastAsiaTheme="minorHAnsi" w:hAnsi="Times New Roman" w:cs="Times New Roman"/>
          <w:sz w:val="24"/>
          <w:szCs w:val="24"/>
        </w:rPr>
        <w:t>attur no savlaicīgas ārstēšanās un palielina PZDG.</w:t>
      </w:r>
    </w:p>
    <w:p w14:paraId="519D0C6A" w14:textId="7FA1AFD9" w:rsidR="009267FC" w:rsidRPr="009267FC" w:rsidRDefault="009267FC" w:rsidP="009267FC">
      <w:pPr>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Minētie Latvijas veselības sistēmas izaicin</w:t>
      </w:r>
      <w:r w:rsidR="00656E6E">
        <w:rPr>
          <w:rFonts w:ascii="Times New Roman" w:eastAsiaTheme="minorHAnsi" w:hAnsi="Times New Roman" w:cs="Times New Roman"/>
          <w:sz w:val="24"/>
          <w:szCs w:val="24"/>
        </w:rPr>
        <w:t>ājumi ir identificēti 2014.gada</w:t>
      </w:r>
      <w:r w:rsidRPr="009267FC">
        <w:rPr>
          <w:rFonts w:ascii="Times New Roman" w:eastAsiaTheme="minorHAnsi" w:hAnsi="Times New Roman" w:cs="Times New Roman"/>
          <w:sz w:val="24"/>
          <w:szCs w:val="24"/>
        </w:rPr>
        <w:t xml:space="preserve"> valstu specifiskajās rekomendācijās:</w:t>
      </w:r>
    </w:p>
    <w:p w14:paraId="16299FC5" w14:textId="5F5E7B54" w:rsidR="009267FC" w:rsidRPr="009267FC" w:rsidRDefault="009267FC" w:rsidP="00457572">
      <w:pPr>
        <w:autoSpaceDE w:val="0"/>
        <w:autoSpaceDN w:val="0"/>
        <w:adjustRightInd w:val="0"/>
        <w:spacing w:after="60" w:line="240" w:lineRule="auto"/>
        <w:ind w:left="720"/>
        <w:rPr>
          <w:rFonts w:ascii="Times New Roman" w:eastAsiaTheme="minorHAnsi" w:hAnsi="Times New Roman" w:cs="Times New Roman"/>
          <w:sz w:val="24"/>
          <w:szCs w:val="24"/>
        </w:rPr>
      </w:pPr>
      <w:r w:rsidRPr="009267FC">
        <w:rPr>
          <w:rFonts w:ascii="Times New Roman" w:eastAsiaTheme="minorHAnsi" w:hAnsi="Times New Roman" w:cs="Times New Roman"/>
          <w:i/>
          <w:sz w:val="24"/>
          <w:szCs w:val="24"/>
        </w:rPr>
        <w:t>Uzlabot veselības aprūpes sistēmas izmaksu lietderību, kvalitāti un pieejamību</w:t>
      </w:r>
      <w:r w:rsidR="00656E6E">
        <w:rPr>
          <w:rFonts w:ascii="Times New Roman" w:eastAsiaTheme="minorHAnsi" w:hAnsi="Times New Roman" w:cs="Times New Roman"/>
          <w:sz w:val="24"/>
          <w:szCs w:val="24"/>
        </w:rPr>
        <w:t>.</w:t>
      </w:r>
    </w:p>
    <w:p w14:paraId="561C34CD" w14:textId="1322812E" w:rsidR="00904AE5" w:rsidRDefault="009267FC" w:rsidP="00904AE5">
      <w:pPr>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 xml:space="preserve">Analizējot paveikto, </w:t>
      </w:r>
      <w:r w:rsidR="00656E6E">
        <w:rPr>
          <w:rFonts w:ascii="Times New Roman" w:eastAsiaTheme="minorHAnsi" w:hAnsi="Times New Roman" w:cs="Times New Roman"/>
          <w:sz w:val="24"/>
          <w:szCs w:val="24"/>
        </w:rPr>
        <w:t>EK</w:t>
      </w:r>
      <w:r w:rsidRPr="009267FC">
        <w:rPr>
          <w:rFonts w:ascii="Times New Roman" w:eastAsiaTheme="minorHAnsi" w:hAnsi="Times New Roman" w:cs="Times New Roman"/>
          <w:sz w:val="24"/>
          <w:szCs w:val="24"/>
        </w:rPr>
        <w:t xml:space="preserve"> savā valstu specifisko rekomendāciju izpildes analīzē ir norādījusi u</w:t>
      </w:r>
      <w:r w:rsidR="00656E6E">
        <w:rPr>
          <w:rFonts w:ascii="Times New Roman" w:eastAsiaTheme="minorHAnsi" w:hAnsi="Times New Roman" w:cs="Times New Roman"/>
          <w:sz w:val="24"/>
          <w:szCs w:val="24"/>
        </w:rPr>
        <w:t>z ierobežoto progresu šajā jomā: “</w:t>
      </w:r>
      <w:r w:rsidRPr="009267FC">
        <w:rPr>
          <w:rFonts w:ascii="Times New Roman" w:eastAsiaTheme="minorHAnsi" w:hAnsi="Times New Roman" w:cs="Times New Roman"/>
          <w:i/>
          <w:sz w:val="24"/>
          <w:szCs w:val="24"/>
        </w:rPr>
        <w:t>Ierobežots progress, uzlabojot veselības aprūpes sistēmas izmaksu lietderību, kvalitāti un pieejamību. Kopumā veselības aprūpes sektoram viennozīmīgi ir atvēlēts pārāk mazs finansējums, kas negatīvi ietekmē neaizsargāto sabiedrības grupu piekļuvi veselības aprūpei</w:t>
      </w:r>
      <w:r w:rsidR="00457572">
        <w:rPr>
          <w:rFonts w:ascii="Times New Roman" w:eastAsiaTheme="minorHAnsi" w:hAnsi="Times New Roman" w:cs="Times New Roman"/>
          <w:i/>
          <w:sz w:val="24"/>
          <w:szCs w:val="24"/>
        </w:rPr>
        <w:t>”</w:t>
      </w:r>
      <w:r w:rsidRPr="009267FC">
        <w:rPr>
          <w:rFonts w:ascii="Times New Roman" w:eastAsiaTheme="minorHAnsi" w:hAnsi="Times New Roman" w:cs="Times New Roman"/>
          <w:i/>
          <w:sz w:val="24"/>
          <w:szCs w:val="24"/>
        </w:rPr>
        <w:t>.</w:t>
      </w:r>
    </w:p>
    <w:p w14:paraId="35CAB997" w14:textId="4859F237" w:rsidR="009267FC" w:rsidRPr="009267FC" w:rsidRDefault="009267FC" w:rsidP="00904AE5">
      <w:pPr>
        <w:spacing w:before="240"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 xml:space="preserve">Latvija nopietni izturas pret nepieciešamību uzlabot veselības pakalpojumu kvalitāti un pieejamību. Tas pilnībā atbilst Latvijas fiskālās politikas mērķim kāpināt iedzīvotāju dzīves kvalitāti. Veselības pakalpojumu kvalitāte un pieejamība, kā arī iedzīvotāju informētība un izglītošana veselības profilakses jomā ir būtiski nosacījumi, lai celtu dzīves kvalitāti gan tiešā, gan netiešā veidā. Tiešā veidā dzīves kvalitāte tiktu celta palielinot veselīgi nodzīvoto gadu skaitu. Netiešā veidā dzīves kvalitāte tiktu kāpināta ar lielāku potenciālā IKP pieaugumu, kas notiktu ar lielāku iedzīvotāju skaitu darba tirgū, samazinoties </w:t>
      </w:r>
      <w:r w:rsidR="00457572">
        <w:rPr>
          <w:rFonts w:ascii="Times New Roman" w:eastAsiaTheme="minorHAnsi" w:hAnsi="Times New Roman" w:cs="Times New Roman"/>
          <w:sz w:val="24"/>
          <w:szCs w:val="24"/>
        </w:rPr>
        <w:t>PZDG</w:t>
      </w:r>
      <w:r w:rsidRPr="009267FC">
        <w:rPr>
          <w:rFonts w:ascii="Times New Roman" w:eastAsiaTheme="minorHAnsi" w:hAnsi="Times New Roman" w:cs="Times New Roman"/>
          <w:sz w:val="24"/>
          <w:szCs w:val="24"/>
        </w:rPr>
        <w:t xml:space="preserve"> skaitam. </w:t>
      </w:r>
    </w:p>
    <w:p w14:paraId="3D3EAC9F" w14:textId="77777777" w:rsidR="009267FC" w:rsidRPr="009267FC" w:rsidRDefault="009267FC" w:rsidP="009267FC">
      <w:pPr>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Šī izpratne ir nostiprināta vairākos politikas plānošanas dokumentos.</w:t>
      </w:r>
    </w:p>
    <w:p w14:paraId="287136A4" w14:textId="12B7F3C0" w:rsidR="009267FC" w:rsidRPr="009267FC" w:rsidRDefault="009267FC" w:rsidP="009267FC">
      <w:pPr>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 xml:space="preserve">Veselības mērķi un pasākumi ir definēti Latvijas galvenajā vidēja termiņa attīstības </w:t>
      </w:r>
      <w:r w:rsidRPr="009267FC">
        <w:rPr>
          <w:rFonts w:ascii="Times New Roman" w:eastAsiaTheme="minorHAnsi" w:hAnsi="Times New Roman" w:cs="Times New Roman"/>
          <w:iCs/>
          <w:sz w:val="24"/>
          <w:szCs w:val="24"/>
        </w:rPr>
        <w:t>plānošanas dokumentā</w:t>
      </w:r>
      <w:r w:rsidRPr="009267FC">
        <w:rPr>
          <w:rFonts w:ascii="Times New Roman" w:eastAsiaTheme="minorHAnsi" w:hAnsi="Times New Roman" w:cs="Times New Roman"/>
          <w:sz w:val="24"/>
          <w:szCs w:val="24"/>
        </w:rPr>
        <w:t xml:space="preserve"> – </w:t>
      </w:r>
      <w:r w:rsidR="00457572">
        <w:rPr>
          <w:rFonts w:ascii="Times New Roman" w:eastAsiaTheme="minorHAnsi" w:hAnsi="Times New Roman" w:cs="Times New Roman"/>
          <w:b/>
          <w:sz w:val="24"/>
          <w:szCs w:val="24"/>
        </w:rPr>
        <w:t>NAP 2020</w:t>
      </w:r>
      <w:r w:rsidRPr="009267FC">
        <w:rPr>
          <w:rFonts w:ascii="Times New Roman" w:eastAsiaTheme="minorHAnsi" w:hAnsi="Times New Roman" w:cs="Times New Roman"/>
          <w:sz w:val="24"/>
          <w:szCs w:val="24"/>
        </w:rPr>
        <w:t xml:space="preserve">, kas ir sasaistīts ar valdības rīcības plānā noteiktajiem pasākumiem un citiem veselības nozares plānošanas dokumentiem. Sabiedrības veselība ir saistīta ar tās darbaspējām, jo darbspēju zaudējumu cēloņi vairumā gadījumu saistīti ar dažādiem veselības riskiem. Mazinot to ietekmi ir iespējams palielināt sabiedrības locekļu veselīgi nodzīvotos mūža gadus un dzīves kvalitāti, kas tādā veidā uzlabo arī dabīgo pieaugumu un sekmē nodarbinātību valstī, nodrošinot tautsaimniecības attīstību. </w:t>
      </w:r>
    </w:p>
    <w:p w14:paraId="1A49F41E" w14:textId="77777777" w:rsidR="009267FC" w:rsidRPr="009267FC" w:rsidRDefault="009267FC" w:rsidP="009267FC">
      <w:pPr>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NAP 2020 rīcības virziena „vesels un darbspējīgs cilvēks” ietvaros ir noteikts sekojošs mērķis: „</w:t>
      </w:r>
      <w:r w:rsidRPr="009267FC">
        <w:rPr>
          <w:rFonts w:ascii="Times New Roman" w:eastAsiaTheme="minorHAnsi" w:hAnsi="Times New Roman" w:cs="Times New Roman"/>
          <w:i/>
          <w:sz w:val="24"/>
          <w:szCs w:val="24"/>
        </w:rPr>
        <w:t>veicinot veselīgu dzīvesveidu, uzlabojot plānošanu un koordinēšanu veselības aprūpes sistēmā, kā arī ambulatorās veselības aprūpes kvalitāti un pieejamību, mazināt hronisko slimību un ārējo nāves cēloņu riska faktoru izplatību sabiedrībā, tādā veidā sekmējot iedzīvotāju veselības saglabāšanu un uzlabošanu, kas ir pamats ilgam un produktīvam darba mūžam</w:t>
      </w:r>
      <w:r w:rsidRPr="009267FC">
        <w:rPr>
          <w:rFonts w:ascii="Times New Roman" w:eastAsiaTheme="minorHAnsi" w:hAnsi="Times New Roman" w:cs="Times New Roman"/>
          <w:sz w:val="24"/>
          <w:szCs w:val="24"/>
        </w:rPr>
        <w:t>”</w:t>
      </w:r>
      <w:r w:rsidRPr="009267FC">
        <w:rPr>
          <w:rFonts w:ascii="Times New Roman" w:eastAsiaTheme="minorHAnsi" w:hAnsi="Times New Roman" w:cs="Times New Roman"/>
          <w:sz w:val="24"/>
          <w:szCs w:val="24"/>
          <w:vertAlign w:val="superscript"/>
        </w:rPr>
        <w:footnoteReference w:id="13"/>
      </w:r>
      <w:r w:rsidRPr="009267FC">
        <w:rPr>
          <w:rFonts w:ascii="Times New Roman" w:eastAsiaTheme="minorHAnsi" w:hAnsi="Times New Roman" w:cs="Times New Roman"/>
          <w:sz w:val="24"/>
          <w:szCs w:val="24"/>
        </w:rPr>
        <w:t xml:space="preserve">. Šī rīcība virziena īstenošanai 7 gadu periodam NAP 2020 ir noteicis indikatīvi papildu nepieciešamo finansējumu </w:t>
      </w:r>
      <w:r w:rsidRPr="009267FC">
        <w:rPr>
          <w:rFonts w:ascii="Times New Roman" w:eastAsiaTheme="minorHAnsi" w:hAnsi="Times New Roman" w:cs="Times New Roman"/>
          <w:b/>
          <w:sz w:val="24"/>
          <w:szCs w:val="24"/>
        </w:rPr>
        <w:t xml:space="preserve">462,87 milj. </w:t>
      </w:r>
      <w:r w:rsidRPr="009267FC">
        <w:rPr>
          <w:rFonts w:ascii="Times New Roman" w:eastAsiaTheme="minorHAnsi" w:hAnsi="Times New Roman" w:cs="Times New Roman"/>
          <w:b/>
          <w:i/>
          <w:sz w:val="24"/>
          <w:szCs w:val="24"/>
        </w:rPr>
        <w:t xml:space="preserve">euro </w:t>
      </w:r>
      <w:r w:rsidRPr="009267FC">
        <w:rPr>
          <w:rFonts w:ascii="Times New Roman" w:eastAsiaTheme="minorHAnsi" w:hAnsi="Times New Roman" w:cs="Times New Roman"/>
          <w:b/>
          <w:sz w:val="24"/>
          <w:szCs w:val="24"/>
        </w:rPr>
        <w:t>apmērā</w:t>
      </w:r>
      <w:r w:rsidRPr="009267FC">
        <w:rPr>
          <w:rFonts w:ascii="Times New Roman" w:eastAsiaTheme="minorHAnsi" w:hAnsi="Times New Roman" w:cs="Times New Roman"/>
          <w:sz w:val="24"/>
          <w:szCs w:val="24"/>
        </w:rPr>
        <w:t xml:space="preserve">. </w:t>
      </w:r>
    </w:p>
    <w:p w14:paraId="2226E1C4" w14:textId="096D6AEE" w:rsidR="009267FC" w:rsidRPr="009267FC" w:rsidRDefault="009267FC" w:rsidP="009267FC">
      <w:pPr>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bCs/>
          <w:kern w:val="36"/>
          <w:sz w:val="24"/>
          <w:szCs w:val="24"/>
        </w:rPr>
        <w:t xml:space="preserve">Sabiedrības veselības rādītāju uzlabošanai svarīgi nodrošināt, ka </w:t>
      </w:r>
      <w:r w:rsidRPr="009267FC">
        <w:rPr>
          <w:rFonts w:ascii="Times New Roman" w:eastAsiaTheme="minorHAnsi" w:hAnsi="Times New Roman" w:cs="Times New Roman"/>
          <w:sz w:val="24"/>
          <w:szCs w:val="24"/>
        </w:rPr>
        <w:t>visiem valsts iedzīvotājiem ir vienlīdzīgas iespējas saņemt veselības aprūpes pakalpojumus.</w:t>
      </w:r>
      <w:r w:rsidRPr="009267FC">
        <w:rPr>
          <w:rFonts w:ascii="Times New Roman" w:eastAsiaTheme="minorHAnsi" w:hAnsi="Times New Roman" w:cs="Times New Roman"/>
          <w:bCs/>
          <w:kern w:val="36"/>
          <w:sz w:val="24"/>
          <w:szCs w:val="24"/>
        </w:rPr>
        <w:t xml:space="preserve"> Tādejādi v</w:t>
      </w:r>
      <w:r w:rsidRPr="009267FC">
        <w:rPr>
          <w:rFonts w:ascii="Times New Roman" w:eastAsia="TTA20401A8t00" w:hAnsi="Times New Roman" w:cs="Times New Roman"/>
          <w:sz w:val="24"/>
          <w:szCs w:val="24"/>
        </w:rPr>
        <w:t xml:space="preserve">eselības aprūpes pakalpojumu pieejamība raksturo veselības aprūpes sistēmas kvalitāti un efektivitāti, kas ir nepieciešama, </w:t>
      </w:r>
      <w:r w:rsidRPr="009267FC">
        <w:rPr>
          <w:rFonts w:ascii="Times New Roman" w:eastAsiaTheme="minorHAnsi" w:hAnsi="Times New Roman" w:cs="Times New Roman"/>
          <w:sz w:val="24"/>
          <w:szCs w:val="24"/>
        </w:rPr>
        <w:t>lai sabiedrība saņemtu pēctecīgus pakalpojumus visos veselības sistēmas līmeņos atbilstoši cilvēku vajadzībām</w:t>
      </w:r>
      <w:r w:rsidRPr="009267FC">
        <w:rPr>
          <w:rFonts w:ascii="Times New Roman" w:eastAsia="TTA20401A8t00" w:hAnsi="Times New Roman" w:cs="Times New Roman"/>
          <w:sz w:val="24"/>
          <w:szCs w:val="24"/>
        </w:rPr>
        <w:t xml:space="preserve">. </w:t>
      </w:r>
      <w:r w:rsidRPr="009267FC">
        <w:rPr>
          <w:rFonts w:ascii="Times New Roman" w:eastAsiaTheme="minorHAnsi" w:hAnsi="Times New Roman" w:cs="Times New Roman"/>
          <w:sz w:val="24"/>
          <w:szCs w:val="24"/>
        </w:rPr>
        <w:t xml:space="preserve">Kā viens no mērķa sasniegšanas rādītājiem ir </w:t>
      </w:r>
      <w:r w:rsidR="00457572">
        <w:rPr>
          <w:rFonts w:ascii="Times New Roman" w:eastAsiaTheme="minorHAnsi" w:hAnsi="Times New Roman" w:cs="Times New Roman"/>
          <w:sz w:val="24"/>
          <w:szCs w:val="24"/>
        </w:rPr>
        <w:t>PZDG</w:t>
      </w:r>
      <w:r w:rsidRPr="009267FC">
        <w:rPr>
          <w:rFonts w:ascii="Times New Roman" w:eastAsiaTheme="minorHAnsi" w:hAnsi="Times New Roman" w:cs="Times New Roman"/>
          <w:sz w:val="24"/>
          <w:szCs w:val="24"/>
        </w:rPr>
        <w:t xml:space="preserve">, kas ir noteikti gan NAP 2020, gan </w:t>
      </w:r>
      <w:r w:rsidR="00457572">
        <w:rPr>
          <w:rFonts w:ascii="Times New Roman" w:eastAsiaTheme="minorHAnsi" w:hAnsi="Times New Roman" w:cs="Times New Roman"/>
          <w:sz w:val="24"/>
          <w:szCs w:val="24"/>
        </w:rPr>
        <w:t xml:space="preserve">NRP </w:t>
      </w:r>
      <w:r w:rsidRPr="009267FC">
        <w:rPr>
          <w:rFonts w:ascii="Times New Roman" w:eastAsiaTheme="minorHAnsi" w:hAnsi="Times New Roman" w:cs="Times New Roman"/>
          <w:sz w:val="24"/>
          <w:szCs w:val="24"/>
        </w:rPr>
        <w:t xml:space="preserve">paredzot, ka līdz 2020.gadam PZDG uz 100 000 iedzīvotājiem jāsamazina līdz </w:t>
      </w:r>
      <w:r w:rsidRPr="009267FC">
        <w:rPr>
          <w:rFonts w:ascii="Times New Roman" w:eastAsiaTheme="minorHAnsi" w:hAnsi="Times New Roman" w:cs="Times New Roman"/>
          <w:b/>
          <w:sz w:val="24"/>
          <w:szCs w:val="24"/>
        </w:rPr>
        <w:t>5300 no 6746</w:t>
      </w:r>
      <w:r w:rsidRPr="009267FC">
        <w:rPr>
          <w:rFonts w:ascii="Times New Roman" w:eastAsiaTheme="minorHAnsi" w:hAnsi="Times New Roman" w:cs="Times New Roman"/>
          <w:sz w:val="24"/>
          <w:szCs w:val="24"/>
        </w:rPr>
        <w:t xml:space="preserve"> 2010.gadā. </w:t>
      </w:r>
    </w:p>
    <w:p w14:paraId="1E069DA2" w14:textId="6C78DA57" w:rsidR="009267FC" w:rsidRPr="009267FC" w:rsidRDefault="009267FC" w:rsidP="009267FC">
      <w:pPr>
        <w:spacing w:after="60" w:line="240" w:lineRule="auto"/>
        <w:ind w:firstLine="720"/>
        <w:jc w:val="both"/>
        <w:rPr>
          <w:rFonts w:ascii="Times New Roman" w:eastAsiaTheme="minorHAnsi" w:hAnsi="Times New Roman" w:cs="Times New Roman"/>
          <w:bCs/>
          <w:kern w:val="36"/>
          <w:sz w:val="24"/>
          <w:szCs w:val="24"/>
        </w:rPr>
      </w:pPr>
      <w:r w:rsidRPr="009267FC">
        <w:rPr>
          <w:rFonts w:ascii="Times New Roman" w:eastAsiaTheme="minorHAnsi" w:hAnsi="Times New Roman" w:cs="Times New Roman"/>
          <w:bCs/>
          <w:kern w:val="36"/>
          <w:sz w:val="24"/>
          <w:szCs w:val="24"/>
        </w:rPr>
        <w:t xml:space="preserve">2014.gada oktobrī </w:t>
      </w:r>
      <w:r w:rsidR="00457572">
        <w:rPr>
          <w:rFonts w:ascii="Times New Roman" w:eastAsiaTheme="minorHAnsi" w:hAnsi="Times New Roman" w:cs="Times New Roman"/>
          <w:bCs/>
          <w:kern w:val="36"/>
          <w:sz w:val="24"/>
          <w:szCs w:val="24"/>
        </w:rPr>
        <w:t>MK</w:t>
      </w:r>
      <w:r w:rsidRPr="009267FC">
        <w:rPr>
          <w:rFonts w:ascii="Times New Roman" w:eastAsiaTheme="minorHAnsi" w:hAnsi="Times New Roman" w:cs="Times New Roman"/>
          <w:bCs/>
          <w:kern w:val="36"/>
          <w:sz w:val="24"/>
          <w:szCs w:val="24"/>
        </w:rPr>
        <w:t xml:space="preserve"> tika apstiprinātas </w:t>
      </w:r>
      <w:r w:rsidRPr="009267FC">
        <w:rPr>
          <w:rFonts w:ascii="Times New Roman" w:eastAsiaTheme="minorHAnsi" w:hAnsi="Times New Roman" w:cs="Times New Roman"/>
          <w:b/>
          <w:bCs/>
          <w:kern w:val="36"/>
          <w:sz w:val="24"/>
          <w:szCs w:val="24"/>
        </w:rPr>
        <w:t>„Sabiedrības veselības pamatnostādnes 2014.-2020.gadam”</w:t>
      </w:r>
      <w:r w:rsidRPr="009267FC">
        <w:rPr>
          <w:rFonts w:ascii="Times New Roman" w:eastAsiaTheme="minorHAnsi" w:hAnsi="Times New Roman" w:cs="Times New Roman"/>
          <w:bCs/>
          <w:kern w:val="36"/>
          <w:sz w:val="24"/>
          <w:szCs w:val="24"/>
        </w:rPr>
        <w:t>, kuru ietvaros</w:t>
      </w:r>
      <w:r w:rsidRPr="009267FC">
        <w:rPr>
          <w:rFonts w:ascii="Times New Roman" w:eastAsiaTheme="minorHAnsi" w:hAnsi="Times New Roman" w:cs="Times New Roman"/>
          <w:sz w:val="24"/>
          <w:szCs w:val="24"/>
        </w:rPr>
        <w:t xml:space="preserve"> paredzēts īstenot pasākumus, kas vērsti uz mērķtiecīgu pasākumu realizāciju ar lielākiem atdeves rādītājiem, risinot konkrētas problēmas iedzīvotāju kā darbaspēka labākas veselības nodrošināšanai.</w:t>
      </w:r>
      <w:r w:rsidRPr="009267FC">
        <w:rPr>
          <w:rFonts w:ascii="Times New Roman" w:eastAsiaTheme="minorHAnsi" w:hAnsi="Times New Roman" w:cs="Times New Roman"/>
          <w:bCs/>
          <w:kern w:val="36"/>
          <w:sz w:val="24"/>
          <w:szCs w:val="24"/>
        </w:rPr>
        <w:t xml:space="preserve"> Sabiedrības veselības pamatnostādnēs 2014.-2020.gadam ir izvirzīti divi virsmērķi:</w:t>
      </w:r>
    </w:p>
    <w:p w14:paraId="7EDA0A4B" w14:textId="7C9A8A6E" w:rsidR="009267FC" w:rsidRPr="00457572" w:rsidRDefault="009267FC" w:rsidP="00457572">
      <w:pPr>
        <w:pStyle w:val="ListParagraph"/>
        <w:numPr>
          <w:ilvl w:val="0"/>
          <w:numId w:val="28"/>
        </w:numPr>
        <w:spacing w:after="60" w:line="240" w:lineRule="auto"/>
        <w:ind w:left="1134"/>
        <w:jc w:val="both"/>
        <w:rPr>
          <w:rFonts w:ascii="Times New Roman" w:eastAsiaTheme="minorHAnsi" w:hAnsi="Times New Roman" w:cs="Times New Roman"/>
          <w:sz w:val="24"/>
          <w:szCs w:val="24"/>
        </w:rPr>
      </w:pPr>
      <w:r w:rsidRPr="00457572">
        <w:rPr>
          <w:rFonts w:ascii="Times New Roman" w:eastAsiaTheme="minorHAnsi" w:hAnsi="Times New Roman" w:cs="Times New Roman"/>
          <w:sz w:val="24"/>
          <w:szCs w:val="24"/>
        </w:rPr>
        <w:t xml:space="preserve">par </w:t>
      </w:r>
      <w:r w:rsidRPr="00457572">
        <w:rPr>
          <w:rFonts w:ascii="Times New Roman" w:eastAsiaTheme="minorHAnsi" w:hAnsi="Times New Roman" w:cs="Times New Roman"/>
          <w:b/>
          <w:bCs/>
          <w:sz w:val="24"/>
          <w:szCs w:val="24"/>
        </w:rPr>
        <w:t xml:space="preserve">trim gadiem </w:t>
      </w:r>
      <w:r w:rsidRPr="00457572">
        <w:rPr>
          <w:rFonts w:ascii="Times New Roman" w:eastAsiaTheme="minorHAnsi" w:hAnsi="Times New Roman" w:cs="Times New Roman"/>
          <w:sz w:val="24"/>
          <w:szCs w:val="24"/>
        </w:rPr>
        <w:t>palielināt veselīgi nodzīvoto mūža gadu skaitu (2020.gadā sasniegt 57 gadus v</w:t>
      </w:r>
      <w:r w:rsidR="00457572">
        <w:rPr>
          <w:rFonts w:ascii="Times New Roman" w:eastAsiaTheme="minorHAnsi" w:hAnsi="Times New Roman" w:cs="Times New Roman"/>
          <w:sz w:val="24"/>
          <w:szCs w:val="24"/>
        </w:rPr>
        <w:t>īriešiem un 60 gadus sievietēm);</w:t>
      </w:r>
    </w:p>
    <w:p w14:paraId="0400EEF9" w14:textId="005F126E" w:rsidR="009267FC" w:rsidRPr="00457572" w:rsidRDefault="009267FC" w:rsidP="00457572">
      <w:pPr>
        <w:pStyle w:val="ListParagraph"/>
        <w:numPr>
          <w:ilvl w:val="0"/>
          <w:numId w:val="28"/>
        </w:numPr>
        <w:spacing w:after="60" w:line="240" w:lineRule="auto"/>
        <w:ind w:left="1134"/>
        <w:jc w:val="both"/>
        <w:rPr>
          <w:rFonts w:ascii="Times New Roman" w:eastAsiaTheme="minorHAnsi" w:hAnsi="Times New Roman" w:cs="Times New Roman"/>
          <w:sz w:val="24"/>
          <w:szCs w:val="24"/>
        </w:rPr>
      </w:pPr>
      <w:r w:rsidRPr="00457572">
        <w:rPr>
          <w:rFonts w:ascii="Times New Roman" w:eastAsiaTheme="minorHAnsi" w:hAnsi="Times New Roman" w:cs="Times New Roman"/>
          <w:sz w:val="24"/>
          <w:szCs w:val="24"/>
        </w:rPr>
        <w:t xml:space="preserve">par </w:t>
      </w:r>
      <w:r w:rsidRPr="00457572">
        <w:rPr>
          <w:rFonts w:ascii="Times New Roman" w:eastAsiaTheme="minorHAnsi" w:hAnsi="Times New Roman" w:cs="Times New Roman"/>
          <w:b/>
          <w:bCs/>
          <w:sz w:val="24"/>
          <w:szCs w:val="24"/>
        </w:rPr>
        <w:t>11%</w:t>
      </w:r>
      <w:r w:rsidRPr="00457572">
        <w:rPr>
          <w:rFonts w:ascii="Times New Roman" w:eastAsiaTheme="minorHAnsi" w:hAnsi="Times New Roman" w:cs="Times New Roman"/>
          <w:sz w:val="24"/>
          <w:szCs w:val="24"/>
        </w:rPr>
        <w:t xml:space="preserve"> samazināt </w:t>
      </w:r>
      <w:r w:rsidR="00457572">
        <w:rPr>
          <w:rFonts w:ascii="Times New Roman" w:eastAsiaTheme="minorHAnsi" w:hAnsi="Times New Roman" w:cs="Times New Roman"/>
          <w:sz w:val="24"/>
          <w:szCs w:val="24"/>
        </w:rPr>
        <w:t>PZDG</w:t>
      </w:r>
      <w:r w:rsidRPr="00457572">
        <w:rPr>
          <w:rFonts w:ascii="Times New Roman" w:eastAsiaTheme="minorHAnsi" w:hAnsi="Times New Roman" w:cs="Times New Roman"/>
          <w:sz w:val="24"/>
          <w:szCs w:val="24"/>
        </w:rPr>
        <w:t xml:space="preserve"> (līdz 64 g.v.) rādītāju (2020.gadā sasniegt 5300 uz 100 000 iedzīvotāju)</w:t>
      </w:r>
      <w:r w:rsidR="00457572">
        <w:rPr>
          <w:rFonts w:ascii="Times New Roman" w:eastAsiaTheme="minorHAnsi" w:hAnsi="Times New Roman" w:cs="Times New Roman"/>
          <w:sz w:val="24"/>
          <w:szCs w:val="24"/>
        </w:rPr>
        <w:t>.</w:t>
      </w:r>
    </w:p>
    <w:p w14:paraId="32DC797C" w14:textId="65E85F2B" w:rsidR="009267FC" w:rsidRPr="009267FC" w:rsidRDefault="00457572" w:rsidP="009267FC">
      <w:pPr>
        <w:spacing w:after="60" w:line="240" w:lineRule="auto"/>
        <w:ind w:firstLine="720"/>
        <w:jc w:val="both"/>
        <w:rPr>
          <w:rFonts w:ascii="Times New Roman" w:eastAsiaTheme="minorHAnsi" w:hAnsi="Times New Roman" w:cs="Times New Roman"/>
          <w:bCs/>
          <w:kern w:val="36"/>
          <w:sz w:val="24"/>
          <w:szCs w:val="24"/>
        </w:rPr>
      </w:pPr>
      <w:r w:rsidRPr="00457572">
        <w:rPr>
          <w:rFonts w:ascii="Times New Roman" w:eastAsiaTheme="minorHAnsi" w:hAnsi="Times New Roman" w:cs="Times New Roman"/>
          <w:bCs/>
          <w:kern w:val="36"/>
          <w:sz w:val="24"/>
          <w:szCs w:val="24"/>
        </w:rPr>
        <w:t>„Sabiedrības veselības pamatnostād</w:t>
      </w:r>
      <w:r>
        <w:rPr>
          <w:rFonts w:ascii="Times New Roman" w:eastAsiaTheme="minorHAnsi" w:hAnsi="Times New Roman" w:cs="Times New Roman"/>
          <w:bCs/>
          <w:kern w:val="36"/>
          <w:sz w:val="24"/>
          <w:szCs w:val="24"/>
        </w:rPr>
        <w:t>ņu</w:t>
      </w:r>
      <w:r w:rsidRPr="00457572">
        <w:rPr>
          <w:rFonts w:ascii="Times New Roman" w:eastAsiaTheme="minorHAnsi" w:hAnsi="Times New Roman" w:cs="Times New Roman"/>
          <w:bCs/>
          <w:kern w:val="36"/>
          <w:sz w:val="24"/>
          <w:szCs w:val="24"/>
        </w:rPr>
        <w:t xml:space="preserve"> 2014.-2020.gadam”</w:t>
      </w:r>
      <w:r>
        <w:rPr>
          <w:rFonts w:ascii="Times New Roman" w:eastAsiaTheme="minorHAnsi" w:hAnsi="Times New Roman" w:cs="Times New Roman"/>
          <w:bCs/>
          <w:kern w:val="36"/>
          <w:sz w:val="24"/>
          <w:szCs w:val="24"/>
        </w:rPr>
        <w:t xml:space="preserve"> </w:t>
      </w:r>
      <w:r w:rsidR="009267FC" w:rsidRPr="009267FC">
        <w:rPr>
          <w:rFonts w:ascii="Times New Roman" w:eastAsiaTheme="minorHAnsi" w:hAnsi="Times New Roman" w:cs="Times New Roman"/>
          <w:bCs/>
          <w:kern w:val="36"/>
          <w:sz w:val="24"/>
          <w:szCs w:val="24"/>
        </w:rPr>
        <w:t>izstrādes nolūkā, Veselības ministrija pasūtīja pētījumu “Izvērtējums Sabiedrības vese</w:t>
      </w:r>
      <w:r>
        <w:rPr>
          <w:rFonts w:ascii="Times New Roman" w:eastAsiaTheme="minorHAnsi" w:hAnsi="Times New Roman" w:cs="Times New Roman"/>
          <w:bCs/>
          <w:kern w:val="36"/>
          <w:sz w:val="24"/>
          <w:szCs w:val="24"/>
        </w:rPr>
        <w:t>lības pamatnostādņu 2014.–2020.</w:t>
      </w:r>
      <w:r w:rsidR="009267FC" w:rsidRPr="009267FC">
        <w:rPr>
          <w:rFonts w:ascii="Times New Roman" w:eastAsiaTheme="minorHAnsi" w:hAnsi="Times New Roman" w:cs="Times New Roman"/>
          <w:bCs/>
          <w:kern w:val="36"/>
          <w:sz w:val="24"/>
          <w:szCs w:val="24"/>
        </w:rPr>
        <w:t>gadam izstrādei”, kuru izstrā</w:t>
      </w:r>
      <w:r>
        <w:rPr>
          <w:rFonts w:ascii="Times New Roman" w:eastAsiaTheme="minorHAnsi" w:hAnsi="Times New Roman" w:cs="Times New Roman"/>
          <w:bCs/>
          <w:kern w:val="36"/>
          <w:sz w:val="24"/>
          <w:szCs w:val="24"/>
        </w:rPr>
        <w:t>dāja Latvijas U</w:t>
      </w:r>
      <w:r w:rsidR="009267FC" w:rsidRPr="009267FC">
        <w:rPr>
          <w:rFonts w:ascii="Times New Roman" w:eastAsiaTheme="minorHAnsi" w:hAnsi="Times New Roman" w:cs="Times New Roman"/>
          <w:bCs/>
          <w:kern w:val="36"/>
          <w:sz w:val="24"/>
          <w:szCs w:val="24"/>
        </w:rPr>
        <w:t xml:space="preserve">niversitāte. Pētījuma pamatuzdevums bija sniegt uz pierādījumiem balstītus priekšlikumus ilgtspējīgas veselības politikas ieviešanai kontekstā ar </w:t>
      </w:r>
      <w:r>
        <w:rPr>
          <w:rFonts w:ascii="Times New Roman" w:eastAsiaTheme="minorHAnsi" w:hAnsi="Times New Roman" w:cs="Times New Roman"/>
          <w:bCs/>
          <w:kern w:val="36"/>
          <w:sz w:val="24"/>
          <w:szCs w:val="24"/>
        </w:rPr>
        <w:t xml:space="preserve">NAP 2020 </w:t>
      </w:r>
      <w:r w:rsidR="009267FC" w:rsidRPr="009267FC">
        <w:rPr>
          <w:rFonts w:ascii="Times New Roman" w:eastAsiaTheme="minorHAnsi" w:hAnsi="Times New Roman" w:cs="Times New Roman"/>
          <w:bCs/>
          <w:kern w:val="36"/>
          <w:sz w:val="24"/>
          <w:szCs w:val="24"/>
        </w:rPr>
        <w:t xml:space="preserve">un </w:t>
      </w:r>
      <w:r>
        <w:rPr>
          <w:rFonts w:ascii="Times New Roman" w:eastAsiaTheme="minorHAnsi" w:hAnsi="Times New Roman" w:cs="Times New Roman"/>
          <w:bCs/>
          <w:kern w:val="36"/>
          <w:sz w:val="24"/>
          <w:szCs w:val="24"/>
        </w:rPr>
        <w:t>ES</w:t>
      </w:r>
      <w:r w:rsidR="009267FC" w:rsidRPr="009267FC">
        <w:rPr>
          <w:rFonts w:ascii="Times New Roman" w:eastAsiaTheme="minorHAnsi" w:hAnsi="Times New Roman" w:cs="Times New Roman"/>
          <w:bCs/>
          <w:kern w:val="36"/>
          <w:sz w:val="24"/>
          <w:szCs w:val="24"/>
        </w:rPr>
        <w:t xml:space="preserve"> fondu plānošanas dokumentu projektos noteikto, sagatavot secinājumus un rekomendācijas </w:t>
      </w:r>
      <w:r w:rsidRPr="00457572">
        <w:rPr>
          <w:rFonts w:ascii="Times New Roman" w:eastAsiaTheme="minorHAnsi" w:hAnsi="Times New Roman" w:cs="Times New Roman"/>
          <w:bCs/>
          <w:kern w:val="36"/>
          <w:sz w:val="24"/>
          <w:szCs w:val="24"/>
        </w:rPr>
        <w:t>„Sabiedrības veselības pamatnostād</w:t>
      </w:r>
      <w:r>
        <w:rPr>
          <w:rFonts w:ascii="Times New Roman" w:eastAsiaTheme="minorHAnsi" w:hAnsi="Times New Roman" w:cs="Times New Roman"/>
          <w:bCs/>
          <w:kern w:val="36"/>
          <w:sz w:val="24"/>
          <w:szCs w:val="24"/>
        </w:rPr>
        <w:t>ņu</w:t>
      </w:r>
      <w:r w:rsidRPr="00457572">
        <w:rPr>
          <w:rFonts w:ascii="Times New Roman" w:eastAsiaTheme="minorHAnsi" w:hAnsi="Times New Roman" w:cs="Times New Roman"/>
          <w:bCs/>
          <w:kern w:val="36"/>
          <w:sz w:val="24"/>
          <w:szCs w:val="24"/>
        </w:rPr>
        <w:t xml:space="preserve"> 2014.-2020.gadam”</w:t>
      </w:r>
      <w:r>
        <w:rPr>
          <w:rFonts w:ascii="Times New Roman" w:eastAsiaTheme="minorHAnsi" w:hAnsi="Times New Roman" w:cs="Times New Roman"/>
          <w:bCs/>
          <w:kern w:val="36"/>
          <w:sz w:val="24"/>
          <w:szCs w:val="24"/>
        </w:rPr>
        <w:t xml:space="preserve"> </w:t>
      </w:r>
      <w:r w:rsidR="009267FC" w:rsidRPr="009267FC">
        <w:rPr>
          <w:rFonts w:ascii="Times New Roman" w:eastAsiaTheme="minorHAnsi" w:hAnsi="Times New Roman" w:cs="Times New Roman"/>
          <w:bCs/>
          <w:kern w:val="36"/>
          <w:sz w:val="24"/>
          <w:szCs w:val="24"/>
        </w:rPr>
        <w:t>izstrādei. Augstākminētais pētījums arī ir izmantots par pamatu tam, lai novērtētu veselības nozarē īstenoto reformu ekonomiskos ieguvumus uz izmaksas.</w:t>
      </w:r>
    </w:p>
    <w:p w14:paraId="50FDF79B" w14:textId="63F50F6F" w:rsidR="009267FC" w:rsidRPr="00457572" w:rsidRDefault="009267FC" w:rsidP="00457572">
      <w:pPr>
        <w:autoSpaceDE w:val="0"/>
        <w:autoSpaceDN w:val="0"/>
        <w:adjustRightInd w:val="0"/>
        <w:spacing w:after="60" w:line="240" w:lineRule="auto"/>
        <w:ind w:firstLine="720"/>
        <w:jc w:val="both"/>
        <w:rPr>
          <w:rFonts w:ascii="Times New Roman" w:eastAsiaTheme="minorHAnsi" w:hAnsi="Times New Roman" w:cs="Times New Roman"/>
          <w:bCs/>
          <w:kern w:val="36"/>
          <w:sz w:val="24"/>
          <w:szCs w:val="24"/>
        </w:rPr>
      </w:pPr>
      <w:r w:rsidRPr="009267FC">
        <w:rPr>
          <w:rFonts w:ascii="Times New Roman" w:eastAsiaTheme="minorHAnsi" w:hAnsi="Times New Roman" w:cs="Times New Roman"/>
          <w:bCs/>
          <w:kern w:val="36"/>
          <w:sz w:val="24"/>
          <w:szCs w:val="24"/>
        </w:rPr>
        <w:t xml:space="preserve">Pētījuma ietvaros tika veiktas </w:t>
      </w:r>
      <w:r w:rsidR="00457572" w:rsidRPr="00457572">
        <w:rPr>
          <w:rFonts w:ascii="Times New Roman" w:eastAsiaTheme="minorHAnsi" w:hAnsi="Times New Roman" w:cs="Times New Roman"/>
          <w:bCs/>
          <w:kern w:val="36"/>
          <w:sz w:val="24"/>
          <w:szCs w:val="24"/>
        </w:rPr>
        <w:t>„Sabiedrības veselības pamatnostād</w:t>
      </w:r>
      <w:r w:rsidR="00457572">
        <w:rPr>
          <w:rFonts w:ascii="Times New Roman" w:eastAsiaTheme="minorHAnsi" w:hAnsi="Times New Roman" w:cs="Times New Roman"/>
          <w:bCs/>
          <w:kern w:val="36"/>
          <w:sz w:val="24"/>
          <w:szCs w:val="24"/>
        </w:rPr>
        <w:t>nēs</w:t>
      </w:r>
      <w:r w:rsidR="00457572" w:rsidRPr="00457572">
        <w:rPr>
          <w:rFonts w:ascii="Times New Roman" w:eastAsiaTheme="minorHAnsi" w:hAnsi="Times New Roman" w:cs="Times New Roman"/>
          <w:bCs/>
          <w:kern w:val="36"/>
          <w:sz w:val="24"/>
          <w:szCs w:val="24"/>
        </w:rPr>
        <w:t xml:space="preserve"> 2014.-2020.gadam”</w:t>
      </w:r>
      <w:r w:rsidRPr="009267FC">
        <w:rPr>
          <w:rFonts w:ascii="Times New Roman" w:eastAsiaTheme="minorHAnsi" w:hAnsi="Times New Roman" w:cs="Times New Roman"/>
          <w:bCs/>
          <w:kern w:val="36"/>
          <w:sz w:val="24"/>
          <w:szCs w:val="24"/>
        </w:rPr>
        <w:t xml:space="preserve"> iekļaujamo mērķa rādītāju, kas izriet no NAP</w:t>
      </w:r>
      <w:r w:rsidR="00457572">
        <w:rPr>
          <w:rFonts w:ascii="Times New Roman" w:eastAsiaTheme="minorHAnsi" w:hAnsi="Times New Roman" w:cs="Times New Roman"/>
          <w:bCs/>
          <w:kern w:val="36"/>
          <w:sz w:val="24"/>
          <w:szCs w:val="24"/>
        </w:rPr>
        <w:t xml:space="preserve"> </w:t>
      </w:r>
      <w:r w:rsidRPr="009267FC">
        <w:rPr>
          <w:rFonts w:ascii="Times New Roman" w:eastAsiaTheme="minorHAnsi" w:hAnsi="Times New Roman" w:cs="Times New Roman"/>
          <w:bCs/>
          <w:kern w:val="36"/>
          <w:sz w:val="24"/>
          <w:szCs w:val="24"/>
        </w:rPr>
        <w:t xml:space="preserve">2020. </w:t>
      </w:r>
      <w:r w:rsidRPr="00457572">
        <w:rPr>
          <w:rFonts w:ascii="Times New Roman" w:eastAsiaTheme="minorHAnsi" w:hAnsi="Times New Roman" w:cs="Times New Roman"/>
          <w:bCs/>
          <w:kern w:val="36"/>
          <w:sz w:val="24"/>
          <w:szCs w:val="24"/>
        </w:rPr>
        <w:t xml:space="preserve">NAP2020 paredz samazināt </w:t>
      </w:r>
      <w:r w:rsidR="00457572">
        <w:rPr>
          <w:rFonts w:ascii="Times New Roman" w:eastAsiaTheme="minorHAnsi" w:hAnsi="Times New Roman" w:cs="Times New Roman"/>
          <w:bCs/>
          <w:kern w:val="36"/>
          <w:sz w:val="24"/>
          <w:szCs w:val="24"/>
        </w:rPr>
        <w:t>PZDG</w:t>
      </w:r>
      <w:r w:rsidRPr="00457572">
        <w:rPr>
          <w:rFonts w:ascii="Times New Roman" w:eastAsiaTheme="minorHAnsi" w:hAnsi="Times New Roman" w:cs="Times New Roman"/>
          <w:bCs/>
          <w:kern w:val="36"/>
          <w:sz w:val="24"/>
          <w:szCs w:val="24"/>
        </w:rPr>
        <w:t xml:space="preserve"> uz 100 000 iedzīvotājiem no 6476 (2010.gadā) līdz 5300 (2020. gadā);</w:t>
      </w:r>
    </w:p>
    <w:p w14:paraId="0BC8E17A" w14:textId="7B81EFCB" w:rsidR="009267FC" w:rsidRPr="0057255A" w:rsidRDefault="009267FC" w:rsidP="0057255A">
      <w:pPr>
        <w:autoSpaceDE w:val="0"/>
        <w:autoSpaceDN w:val="0"/>
        <w:adjustRightInd w:val="0"/>
        <w:spacing w:after="60" w:line="240" w:lineRule="auto"/>
        <w:ind w:firstLine="720"/>
        <w:jc w:val="both"/>
        <w:rPr>
          <w:rFonts w:ascii="Times New Roman" w:eastAsiaTheme="minorHAnsi" w:hAnsi="Times New Roman" w:cs="Times New Roman"/>
          <w:bCs/>
          <w:kern w:val="36"/>
          <w:sz w:val="24"/>
          <w:szCs w:val="24"/>
        </w:rPr>
      </w:pPr>
      <w:r w:rsidRPr="009267FC">
        <w:rPr>
          <w:rFonts w:ascii="Times New Roman" w:eastAsiaTheme="minorHAnsi" w:hAnsi="Times New Roman" w:cs="Times New Roman"/>
          <w:bCs/>
          <w:kern w:val="36"/>
          <w:sz w:val="24"/>
          <w:szCs w:val="24"/>
        </w:rPr>
        <w:t>Ekonomiskā ieguvuma apjoma n</w:t>
      </w:r>
      <w:r w:rsidR="00457572">
        <w:rPr>
          <w:rFonts w:ascii="Times New Roman" w:eastAsiaTheme="minorHAnsi" w:hAnsi="Times New Roman" w:cs="Times New Roman"/>
          <w:bCs/>
          <w:kern w:val="36"/>
          <w:sz w:val="24"/>
          <w:szCs w:val="24"/>
        </w:rPr>
        <w:t>oteikšanai laika posmā no 2013.gada līdz 2020.</w:t>
      </w:r>
      <w:r w:rsidRPr="009267FC">
        <w:rPr>
          <w:rFonts w:ascii="Times New Roman" w:eastAsiaTheme="minorHAnsi" w:hAnsi="Times New Roman" w:cs="Times New Roman"/>
          <w:bCs/>
          <w:kern w:val="36"/>
          <w:sz w:val="24"/>
          <w:szCs w:val="24"/>
        </w:rPr>
        <w:t>gadam Pētījuma ietvaros tika aprēķināts kumulatīvais darbaspēka pieaugums, no kura attiecīgi tika izrēķināts prognozētais IKP pieaugums. Ekonomiskajam ieg</w:t>
      </w:r>
      <w:r w:rsidR="00457572">
        <w:rPr>
          <w:rFonts w:ascii="Times New Roman" w:eastAsiaTheme="minorHAnsi" w:hAnsi="Times New Roman" w:cs="Times New Roman"/>
          <w:bCs/>
          <w:kern w:val="36"/>
          <w:sz w:val="24"/>
          <w:szCs w:val="24"/>
        </w:rPr>
        <w:t>uvumam uzrādīta 2014.</w:t>
      </w:r>
      <w:r w:rsidRPr="009267FC">
        <w:rPr>
          <w:rFonts w:ascii="Times New Roman" w:eastAsiaTheme="minorHAnsi" w:hAnsi="Times New Roman" w:cs="Times New Roman"/>
          <w:bCs/>
          <w:kern w:val="36"/>
          <w:sz w:val="24"/>
          <w:szCs w:val="24"/>
        </w:rPr>
        <w:t>gada tagadnes vērtība,</w:t>
      </w:r>
      <w:r w:rsidR="00D50473">
        <w:rPr>
          <w:rFonts w:ascii="Times New Roman" w:eastAsiaTheme="minorHAnsi" w:hAnsi="Times New Roman" w:cs="Times New Roman"/>
          <w:bCs/>
          <w:kern w:val="36"/>
          <w:sz w:val="24"/>
          <w:szCs w:val="24"/>
        </w:rPr>
        <w:t xml:space="preserve"> piemērojot 5</w:t>
      </w:r>
      <w:r w:rsidR="0057255A">
        <w:rPr>
          <w:rFonts w:ascii="Times New Roman" w:eastAsiaTheme="minorHAnsi" w:hAnsi="Times New Roman" w:cs="Times New Roman"/>
          <w:bCs/>
          <w:kern w:val="36"/>
          <w:sz w:val="24"/>
          <w:szCs w:val="24"/>
        </w:rPr>
        <w:t xml:space="preserve">% diskonta likmi. </w:t>
      </w:r>
    </w:p>
    <w:p w14:paraId="43C2D811" w14:textId="3F65842F" w:rsidR="009267FC" w:rsidRPr="009267FC" w:rsidRDefault="009267FC" w:rsidP="009267FC">
      <w:pPr>
        <w:spacing w:after="60" w:line="240" w:lineRule="auto"/>
        <w:ind w:firstLine="720"/>
        <w:jc w:val="both"/>
        <w:rPr>
          <w:rFonts w:ascii="Times New Roman" w:eastAsiaTheme="minorHAnsi" w:hAnsi="Times New Roman"/>
          <w:bCs/>
          <w:kern w:val="36"/>
          <w:sz w:val="24"/>
        </w:rPr>
      </w:pPr>
      <w:r w:rsidRPr="009267FC">
        <w:rPr>
          <w:rFonts w:ascii="Times New Roman" w:eastAsiaTheme="minorHAnsi" w:hAnsi="Times New Roman"/>
          <w:sz w:val="24"/>
          <w:szCs w:val="24"/>
        </w:rPr>
        <w:t xml:space="preserve">Atbilstoši NRP </w:t>
      </w:r>
      <w:r w:rsidRPr="009267FC">
        <w:rPr>
          <w:rFonts w:ascii="Times New Roman" w:eastAsiaTheme="minorHAnsi" w:hAnsi="Times New Roman"/>
          <w:bCs/>
          <w:kern w:val="36"/>
          <w:sz w:val="24"/>
        </w:rPr>
        <w:t xml:space="preserve">analizētajai PZDG rādītāju dinamikai no 2008. līdz 2013.gadam, secināms, ka saglabājoties esošajai tendencei un nodrošinot nepieciešamos ieguldījumus sabiedrības veselībā, turpmākajos gados PZDG mērķis 2020.gadam tiks sasniegts. </w:t>
      </w:r>
    </w:p>
    <w:p w14:paraId="24E7CFDB" w14:textId="0C62AA67" w:rsidR="009267FC" w:rsidRDefault="009267FC" w:rsidP="009267FC">
      <w:pPr>
        <w:autoSpaceDE w:val="0"/>
        <w:autoSpaceDN w:val="0"/>
        <w:adjustRightInd w:val="0"/>
        <w:spacing w:after="60" w:line="240" w:lineRule="auto"/>
        <w:ind w:firstLine="720"/>
        <w:jc w:val="both"/>
        <w:rPr>
          <w:rFonts w:ascii="Times New Roman" w:eastAsiaTheme="minorHAnsi" w:hAnsi="Times New Roman"/>
          <w:bCs/>
          <w:kern w:val="36"/>
          <w:sz w:val="24"/>
        </w:rPr>
      </w:pPr>
      <w:r w:rsidRPr="009267FC">
        <w:rPr>
          <w:rFonts w:ascii="Times New Roman" w:eastAsiaTheme="minorHAnsi" w:hAnsi="Times New Roman"/>
          <w:b/>
          <w:bCs/>
          <w:kern w:val="36"/>
          <w:sz w:val="24"/>
        </w:rPr>
        <w:t>S</w:t>
      </w:r>
      <w:r w:rsidRPr="009267FC">
        <w:rPr>
          <w:rFonts w:ascii="Times New Roman" w:eastAsiaTheme="minorHAnsi" w:hAnsi="Times New Roman"/>
          <w:bCs/>
          <w:kern w:val="36"/>
          <w:sz w:val="24"/>
        </w:rPr>
        <w:t>asniedzot NAP</w:t>
      </w:r>
      <w:r w:rsidR="00457572">
        <w:rPr>
          <w:rFonts w:ascii="Times New Roman" w:eastAsiaTheme="minorHAnsi" w:hAnsi="Times New Roman"/>
          <w:bCs/>
          <w:kern w:val="36"/>
          <w:sz w:val="24"/>
        </w:rPr>
        <w:t xml:space="preserve"> </w:t>
      </w:r>
      <w:r w:rsidRPr="009267FC">
        <w:rPr>
          <w:rFonts w:ascii="Times New Roman" w:eastAsiaTheme="minorHAnsi" w:hAnsi="Times New Roman"/>
          <w:bCs/>
          <w:kern w:val="36"/>
          <w:sz w:val="24"/>
        </w:rPr>
        <w:t>2020 noteikto PZDG r</w:t>
      </w:r>
      <w:r w:rsidR="00457572">
        <w:rPr>
          <w:rFonts w:ascii="Times New Roman" w:eastAsiaTheme="minorHAnsi" w:hAnsi="Times New Roman"/>
          <w:bCs/>
          <w:kern w:val="36"/>
          <w:sz w:val="24"/>
        </w:rPr>
        <w:t>ādītāja samazinājumu līdz 2020.</w:t>
      </w:r>
      <w:r w:rsidRPr="009267FC">
        <w:rPr>
          <w:rFonts w:ascii="Times New Roman" w:eastAsiaTheme="minorHAnsi" w:hAnsi="Times New Roman"/>
          <w:bCs/>
          <w:kern w:val="36"/>
          <w:sz w:val="24"/>
        </w:rPr>
        <w:t>gadam (pesimistiskais scenārijs), diskontētā ekonomiskā i</w:t>
      </w:r>
      <w:r w:rsidR="00457572">
        <w:rPr>
          <w:rFonts w:ascii="Times New Roman" w:eastAsiaTheme="minorHAnsi" w:hAnsi="Times New Roman"/>
          <w:bCs/>
          <w:kern w:val="36"/>
          <w:sz w:val="24"/>
        </w:rPr>
        <w:t>eguvuma vērtība 2014.</w:t>
      </w:r>
      <w:r w:rsidRPr="009267FC">
        <w:rPr>
          <w:rFonts w:ascii="Times New Roman" w:eastAsiaTheme="minorHAnsi" w:hAnsi="Times New Roman"/>
          <w:bCs/>
          <w:kern w:val="36"/>
          <w:sz w:val="24"/>
        </w:rPr>
        <w:t xml:space="preserve">gadā būs 137,4 milj. </w:t>
      </w:r>
      <w:r w:rsidR="00457572">
        <w:rPr>
          <w:rFonts w:ascii="Times New Roman" w:eastAsiaTheme="minorHAnsi" w:hAnsi="Times New Roman"/>
          <w:bCs/>
          <w:i/>
          <w:kern w:val="36"/>
          <w:sz w:val="24"/>
        </w:rPr>
        <w:t>euro</w:t>
      </w:r>
      <w:r w:rsidRPr="009267FC">
        <w:rPr>
          <w:rFonts w:ascii="Times New Roman" w:eastAsiaTheme="minorHAnsi" w:hAnsi="Times New Roman"/>
          <w:bCs/>
          <w:kern w:val="36"/>
          <w:sz w:val="24"/>
        </w:rPr>
        <w:t xml:space="preserve">. </w:t>
      </w:r>
    </w:p>
    <w:p w14:paraId="55BBF962" w14:textId="77777777" w:rsidR="0057255A" w:rsidRDefault="0057255A">
      <w:pPr>
        <w:rPr>
          <w:rFonts w:ascii="Times New Roman" w:eastAsiaTheme="minorHAnsi" w:hAnsi="Times New Roman"/>
          <w:b/>
          <w:bCs/>
          <w:kern w:val="36"/>
          <w:sz w:val="24"/>
        </w:rPr>
      </w:pPr>
      <w:r>
        <w:rPr>
          <w:rFonts w:ascii="Times New Roman" w:eastAsiaTheme="minorHAnsi" w:hAnsi="Times New Roman"/>
          <w:b/>
          <w:bCs/>
          <w:kern w:val="36"/>
          <w:sz w:val="24"/>
        </w:rPr>
        <w:br w:type="page"/>
      </w:r>
    </w:p>
    <w:p w14:paraId="6E713888" w14:textId="5520E052" w:rsidR="00457572" w:rsidRPr="0057255A" w:rsidRDefault="0057255A" w:rsidP="0020740D">
      <w:pPr>
        <w:autoSpaceDE w:val="0"/>
        <w:autoSpaceDN w:val="0"/>
        <w:adjustRightInd w:val="0"/>
        <w:spacing w:after="60" w:line="240" w:lineRule="auto"/>
        <w:jc w:val="right"/>
        <w:rPr>
          <w:rFonts w:ascii="Times New Roman" w:eastAsiaTheme="minorHAnsi" w:hAnsi="Times New Roman"/>
          <w:b/>
          <w:bCs/>
          <w:kern w:val="36"/>
          <w:sz w:val="24"/>
        </w:rPr>
      </w:pPr>
      <w:r>
        <w:rPr>
          <w:rFonts w:ascii="Times New Roman" w:eastAsiaTheme="minorHAnsi" w:hAnsi="Times New Roman"/>
          <w:b/>
          <w:bCs/>
          <w:kern w:val="36"/>
          <w:sz w:val="24"/>
        </w:rPr>
        <w:t>3.6</w:t>
      </w:r>
      <w:r w:rsidR="00C81719">
        <w:rPr>
          <w:rFonts w:ascii="Times New Roman" w:eastAsiaTheme="minorHAnsi" w:hAnsi="Times New Roman"/>
          <w:b/>
          <w:bCs/>
          <w:kern w:val="36"/>
          <w:sz w:val="24"/>
        </w:rPr>
        <w:t>.</w:t>
      </w:r>
      <w:r>
        <w:rPr>
          <w:rFonts w:ascii="Times New Roman" w:eastAsiaTheme="minorHAnsi" w:hAnsi="Times New Roman"/>
          <w:b/>
          <w:bCs/>
          <w:kern w:val="36"/>
          <w:sz w:val="24"/>
        </w:rPr>
        <w:t>tabula</w:t>
      </w:r>
      <w:r w:rsidRPr="002D4880">
        <w:rPr>
          <w:rFonts w:ascii="Times New Roman" w:eastAsiaTheme="minorHAnsi" w:hAnsi="Times New Roman"/>
          <w:b/>
          <w:bCs/>
          <w:kern w:val="36"/>
          <w:sz w:val="24"/>
        </w:rPr>
        <w:t>.</w:t>
      </w:r>
      <w:r w:rsidRPr="002D4880">
        <w:rPr>
          <w:rFonts w:ascii="Times New Roman" w:eastAsiaTheme="minorHAnsi" w:hAnsi="Times New Roman"/>
          <w:b/>
          <w:sz w:val="24"/>
        </w:rPr>
        <w:t xml:space="preserve"> </w:t>
      </w:r>
      <w:r w:rsidRPr="002D4880">
        <w:rPr>
          <w:rFonts w:ascii="Times New Roman" w:eastAsiaTheme="minorHAnsi" w:hAnsi="Times New Roman"/>
          <w:b/>
          <w:bCs/>
          <w:kern w:val="36"/>
          <w:sz w:val="24"/>
        </w:rPr>
        <w:t xml:space="preserve">Sagaidāmais IKP pieaugums no PZDG rādītāja samazinājuma sasniegšanas līdz 2020.gadam - pesimistiskais scenārijs, milj. </w:t>
      </w:r>
      <w:r w:rsidRPr="002D4880">
        <w:rPr>
          <w:rFonts w:ascii="Times New Roman" w:eastAsiaTheme="minorHAnsi" w:hAnsi="Times New Roman"/>
          <w:b/>
          <w:bCs/>
          <w:i/>
          <w:kern w:val="36"/>
          <w:sz w:val="24"/>
        </w:rPr>
        <w:t>euro</w:t>
      </w:r>
    </w:p>
    <w:tbl>
      <w:tblPr>
        <w:tblStyle w:val="GridTable6ColorfulAccent1"/>
        <w:tblW w:w="9233" w:type="dxa"/>
        <w:jc w:val="center"/>
        <w:tblLook w:val="04A0" w:firstRow="1" w:lastRow="0" w:firstColumn="1" w:lastColumn="0" w:noHBand="0" w:noVBand="1"/>
      </w:tblPr>
      <w:tblGrid>
        <w:gridCol w:w="2429"/>
        <w:gridCol w:w="851"/>
        <w:gridCol w:w="850"/>
        <w:gridCol w:w="851"/>
        <w:gridCol w:w="850"/>
        <w:gridCol w:w="851"/>
        <w:gridCol w:w="850"/>
        <w:gridCol w:w="851"/>
        <w:gridCol w:w="850"/>
      </w:tblGrid>
      <w:tr w:rsidR="00D811E2" w:rsidRPr="00D811E2" w14:paraId="114C81B9" w14:textId="77777777" w:rsidTr="00032492">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9" w:type="dxa"/>
            <w:noWrap/>
            <w:hideMark/>
          </w:tcPr>
          <w:p w14:paraId="3B25E294" w14:textId="77777777" w:rsidR="00457572" w:rsidRPr="00D811E2" w:rsidRDefault="00457572" w:rsidP="00457572">
            <w:pPr>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 </w:t>
            </w:r>
          </w:p>
        </w:tc>
        <w:tc>
          <w:tcPr>
            <w:tcW w:w="851" w:type="dxa"/>
            <w:noWrap/>
            <w:vAlign w:val="center"/>
            <w:hideMark/>
          </w:tcPr>
          <w:p w14:paraId="3772123F" w14:textId="77777777" w:rsidR="00457572" w:rsidRPr="00D811E2" w:rsidRDefault="00457572"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eastAsia="lv-LV"/>
              </w:rPr>
            </w:pPr>
            <w:r w:rsidRPr="00D811E2">
              <w:rPr>
                <w:rFonts w:ascii="Times New Roman" w:eastAsia="Times New Roman" w:hAnsi="Times New Roman" w:cs="Times New Roman"/>
                <w:bCs w:val="0"/>
                <w:color w:val="auto"/>
                <w:sz w:val="20"/>
                <w:szCs w:val="20"/>
                <w:lang w:eastAsia="lv-LV"/>
              </w:rPr>
              <w:t>2020</w:t>
            </w:r>
          </w:p>
        </w:tc>
        <w:tc>
          <w:tcPr>
            <w:tcW w:w="850" w:type="dxa"/>
            <w:noWrap/>
            <w:vAlign w:val="center"/>
            <w:hideMark/>
          </w:tcPr>
          <w:p w14:paraId="2E32C37E" w14:textId="77777777" w:rsidR="00457572" w:rsidRPr="00D811E2" w:rsidRDefault="00457572"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eastAsia="lv-LV"/>
              </w:rPr>
            </w:pPr>
            <w:r w:rsidRPr="00D811E2">
              <w:rPr>
                <w:rFonts w:ascii="Times New Roman" w:eastAsia="Times New Roman" w:hAnsi="Times New Roman" w:cs="Times New Roman"/>
                <w:bCs w:val="0"/>
                <w:color w:val="auto"/>
                <w:sz w:val="20"/>
                <w:szCs w:val="20"/>
                <w:lang w:eastAsia="lv-LV"/>
              </w:rPr>
              <w:t>2019</w:t>
            </w:r>
          </w:p>
        </w:tc>
        <w:tc>
          <w:tcPr>
            <w:tcW w:w="851" w:type="dxa"/>
            <w:noWrap/>
            <w:vAlign w:val="center"/>
            <w:hideMark/>
          </w:tcPr>
          <w:p w14:paraId="6C8292FC" w14:textId="77777777" w:rsidR="00457572" w:rsidRPr="00D811E2" w:rsidRDefault="00457572"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eastAsia="lv-LV"/>
              </w:rPr>
            </w:pPr>
            <w:r w:rsidRPr="00D811E2">
              <w:rPr>
                <w:rFonts w:ascii="Times New Roman" w:eastAsia="Times New Roman" w:hAnsi="Times New Roman" w:cs="Times New Roman"/>
                <w:bCs w:val="0"/>
                <w:color w:val="auto"/>
                <w:sz w:val="20"/>
                <w:szCs w:val="20"/>
                <w:lang w:eastAsia="lv-LV"/>
              </w:rPr>
              <w:t>2018</w:t>
            </w:r>
          </w:p>
        </w:tc>
        <w:tc>
          <w:tcPr>
            <w:tcW w:w="850" w:type="dxa"/>
            <w:noWrap/>
            <w:vAlign w:val="center"/>
            <w:hideMark/>
          </w:tcPr>
          <w:p w14:paraId="684DC20F" w14:textId="77777777" w:rsidR="00457572" w:rsidRPr="00D811E2" w:rsidRDefault="00457572"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eastAsia="lv-LV"/>
              </w:rPr>
            </w:pPr>
            <w:r w:rsidRPr="00D811E2">
              <w:rPr>
                <w:rFonts w:ascii="Times New Roman" w:eastAsia="Times New Roman" w:hAnsi="Times New Roman" w:cs="Times New Roman"/>
                <w:bCs w:val="0"/>
                <w:color w:val="auto"/>
                <w:sz w:val="20"/>
                <w:szCs w:val="20"/>
                <w:lang w:eastAsia="lv-LV"/>
              </w:rPr>
              <w:t>2017</w:t>
            </w:r>
          </w:p>
        </w:tc>
        <w:tc>
          <w:tcPr>
            <w:tcW w:w="851" w:type="dxa"/>
            <w:noWrap/>
            <w:vAlign w:val="center"/>
            <w:hideMark/>
          </w:tcPr>
          <w:p w14:paraId="0A1AA4AD" w14:textId="77777777" w:rsidR="00457572" w:rsidRPr="00D811E2" w:rsidRDefault="00457572"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eastAsia="lv-LV"/>
              </w:rPr>
            </w:pPr>
            <w:r w:rsidRPr="00D811E2">
              <w:rPr>
                <w:rFonts w:ascii="Times New Roman" w:eastAsia="Times New Roman" w:hAnsi="Times New Roman" w:cs="Times New Roman"/>
                <w:bCs w:val="0"/>
                <w:color w:val="auto"/>
                <w:sz w:val="20"/>
                <w:szCs w:val="20"/>
                <w:lang w:eastAsia="lv-LV"/>
              </w:rPr>
              <w:t>2016</w:t>
            </w:r>
          </w:p>
        </w:tc>
        <w:tc>
          <w:tcPr>
            <w:tcW w:w="850" w:type="dxa"/>
            <w:noWrap/>
            <w:vAlign w:val="center"/>
            <w:hideMark/>
          </w:tcPr>
          <w:p w14:paraId="3B2C318D" w14:textId="77777777" w:rsidR="00457572" w:rsidRPr="00D811E2" w:rsidRDefault="00457572"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eastAsia="lv-LV"/>
              </w:rPr>
            </w:pPr>
            <w:r w:rsidRPr="00D811E2">
              <w:rPr>
                <w:rFonts w:ascii="Times New Roman" w:eastAsia="Times New Roman" w:hAnsi="Times New Roman" w:cs="Times New Roman"/>
                <w:bCs w:val="0"/>
                <w:color w:val="auto"/>
                <w:sz w:val="20"/>
                <w:szCs w:val="20"/>
                <w:lang w:eastAsia="lv-LV"/>
              </w:rPr>
              <w:t>2015</w:t>
            </w:r>
          </w:p>
        </w:tc>
        <w:tc>
          <w:tcPr>
            <w:tcW w:w="851" w:type="dxa"/>
            <w:noWrap/>
            <w:vAlign w:val="center"/>
            <w:hideMark/>
          </w:tcPr>
          <w:p w14:paraId="2975CA9C" w14:textId="77777777" w:rsidR="00457572" w:rsidRPr="00D811E2" w:rsidRDefault="00457572"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eastAsia="lv-LV"/>
              </w:rPr>
            </w:pPr>
            <w:r w:rsidRPr="00D811E2">
              <w:rPr>
                <w:rFonts w:ascii="Times New Roman" w:eastAsia="Times New Roman" w:hAnsi="Times New Roman" w:cs="Times New Roman"/>
                <w:bCs w:val="0"/>
                <w:color w:val="auto"/>
                <w:sz w:val="20"/>
                <w:szCs w:val="20"/>
                <w:lang w:eastAsia="lv-LV"/>
              </w:rPr>
              <w:t>2014</w:t>
            </w:r>
          </w:p>
        </w:tc>
        <w:tc>
          <w:tcPr>
            <w:tcW w:w="850" w:type="dxa"/>
            <w:noWrap/>
            <w:vAlign w:val="center"/>
            <w:hideMark/>
          </w:tcPr>
          <w:p w14:paraId="26EA9B17" w14:textId="77777777" w:rsidR="00457572" w:rsidRPr="00D811E2" w:rsidRDefault="00457572"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szCs w:val="20"/>
                <w:lang w:eastAsia="lv-LV"/>
              </w:rPr>
            </w:pPr>
            <w:r w:rsidRPr="00D811E2">
              <w:rPr>
                <w:rFonts w:ascii="Times New Roman" w:eastAsia="Times New Roman" w:hAnsi="Times New Roman" w:cs="Times New Roman"/>
                <w:bCs w:val="0"/>
                <w:color w:val="auto"/>
                <w:sz w:val="20"/>
                <w:szCs w:val="20"/>
                <w:lang w:eastAsia="lv-LV"/>
              </w:rPr>
              <w:t>2013</w:t>
            </w:r>
          </w:p>
        </w:tc>
      </w:tr>
      <w:tr w:rsidR="00D811E2" w:rsidRPr="00D811E2" w14:paraId="0D1EE0FF" w14:textId="77777777" w:rsidTr="00032492">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3F194ACF" w14:textId="77777777" w:rsidR="00457572" w:rsidRPr="00D811E2" w:rsidRDefault="00457572" w:rsidP="00457572">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Līdz attiecīgajam gadam papildus novērstie PZDG, gadu sk.</w:t>
            </w:r>
          </w:p>
        </w:tc>
        <w:tc>
          <w:tcPr>
            <w:tcW w:w="851" w:type="dxa"/>
            <w:noWrap/>
            <w:vAlign w:val="center"/>
            <w:hideMark/>
          </w:tcPr>
          <w:p w14:paraId="4857AE4E"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10059</w:t>
            </w:r>
          </w:p>
        </w:tc>
        <w:tc>
          <w:tcPr>
            <w:tcW w:w="850" w:type="dxa"/>
            <w:noWrap/>
            <w:vAlign w:val="center"/>
            <w:hideMark/>
          </w:tcPr>
          <w:p w14:paraId="66C6CEA2"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8822</w:t>
            </w:r>
          </w:p>
        </w:tc>
        <w:tc>
          <w:tcPr>
            <w:tcW w:w="851" w:type="dxa"/>
            <w:noWrap/>
            <w:vAlign w:val="center"/>
            <w:hideMark/>
          </w:tcPr>
          <w:p w14:paraId="73F2170F"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7579</w:t>
            </w:r>
          </w:p>
        </w:tc>
        <w:tc>
          <w:tcPr>
            <w:tcW w:w="850" w:type="dxa"/>
            <w:noWrap/>
            <w:vAlign w:val="center"/>
            <w:hideMark/>
          </w:tcPr>
          <w:p w14:paraId="296B7E1B"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6331</w:t>
            </w:r>
          </w:p>
        </w:tc>
        <w:tc>
          <w:tcPr>
            <w:tcW w:w="851" w:type="dxa"/>
            <w:noWrap/>
            <w:vAlign w:val="center"/>
            <w:hideMark/>
          </w:tcPr>
          <w:p w14:paraId="1BD19BC4"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5076</w:t>
            </w:r>
          </w:p>
        </w:tc>
        <w:tc>
          <w:tcPr>
            <w:tcW w:w="850" w:type="dxa"/>
            <w:noWrap/>
            <w:vAlign w:val="center"/>
            <w:hideMark/>
          </w:tcPr>
          <w:p w14:paraId="53516C65"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3816</w:t>
            </w:r>
          </w:p>
        </w:tc>
        <w:tc>
          <w:tcPr>
            <w:tcW w:w="851" w:type="dxa"/>
            <w:noWrap/>
            <w:vAlign w:val="center"/>
            <w:hideMark/>
          </w:tcPr>
          <w:p w14:paraId="75B82F63"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2550</w:t>
            </w:r>
          </w:p>
        </w:tc>
        <w:tc>
          <w:tcPr>
            <w:tcW w:w="850" w:type="dxa"/>
            <w:noWrap/>
            <w:vAlign w:val="center"/>
            <w:hideMark/>
          </w:tcPr>
          <w:p w14:paraId="35FEDADB"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1278</w:t>
            </w:r>
          </w:p>
        </w:tc>
      </w:tr>
      <w:tr w:rsidR="00D811E2" w:rsidRPr="00D811E2" w14:paraId="70E1F40A" w14:textId="77777777" w:rsidTr="00032492">
        <w:trPr>
          <w:trHeight w:val="330"/>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74AA5D84" w14:textId="77777777" w:rsidR="00457572" w:rsidRPr="00D811E2" w:rsidRDefault="00457572" w:rsidP="00457572">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No tiem vecumgrupā 15-64 g., gadu sk.</w:t>
            </w:r>
          </w:p>
        </w:tc>
        <w:tc>
          <w:tcPr>
            <w:tcW w:w="851" w:type="dxa"/>
            <w:noWrap/>
            <w:vAlign w:val="center"/>
            <w:hideMark/>
          </w:tcPr>
          <w:p w14:paraId="46D28AB6"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8974</w:t>
            </w:r>
          </w:p>
        </w:tc>
        <w:tc>
          <w:tcPr>
            <w:tcW w:w="850" w:type="dxa"/>
            <w:noWrap/>
            <w:vAlign w:val="center"/>
            <w:hideMark/>
          </w:tcPr>
          <w:p w14:paraId="16204867"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7871</w:t>
            </w:r>
          </w:p>
        </w:tc>
        <w:tc>
          <w:tcPr>
            <w:tcW w:w="851" w:type="dxa"/>
            <w:noWrap/>
            <w:vAlign w:val="center"/>
            <w:hideMark/>
          </w:tcPr>
          <w:p w14:paraId="6F865A8D"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6762</w:t>
            </w:r>
          </w:p>
        </w:tc>
        <w:tc>
          <w:tcPr>
            <w:tcW w:w="850" w:type="dxa"/>
            <w:noWrap/>
            <w:vAlign w:val="center"/>
            <w:hideMark/>
          </w:tcPr>
          <w:p w14:paraId="104CC9D6"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5648</w:t>
            </w:r>
          </w:p>
        </w:tc>
        <w:tc>
          <w:tcPr>
            <w:tcW w:w="851" w:type="dxa"/>
            <w:noWrap/>
            <w:vAlign w:val="center"/>
            <w:hideMark/>
          </w:tcPr>
          <w:p w14:paraId="6CE7DEE5"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4529</w:t>
            </w:r>
          </w:p>
        </w:tc>
        <w:tc>
          <w:tcPr>
            <w:tcW w:w="850" w:type="dxa"/>
            <w:noWrap/>
            <w:vAlign w:val="center"/>
            <w:hideMark/>
          </w:tcPr>
          <w:p w14:paraId="165EF453"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3404</w:t>
            </w:r>
          </w:p>
        </w:tc>
        <w:tc>
          <w:tcPr>
            <w:tcW w:w="851" w:type="dxa"/>
            <w:noWrap/>
            <w:vAlign w:val="center"/>
            <w:hideMark/>
          </w:tcPr>
          <w:p w14:paraId="53CFD4D1"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2275</w:t>
            </w:r>
          </w:p>
        </w:tc>
        <w:tc>
          <w:tcPr>
            <w:tcW w:w="850" w:type="dxa"/>
            <w:noWrap/>
            <w:vAlign w:val="center"/>
            <w:hideMark/>
          </w:tcPr>
          <w:p w14:paraId="67242666"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1140</w:t>
            </w:r>
          </w:p>
        </w:tc>
      </w:tr>
      <w:tr w:rsidR="00D811E2" w:rsidRPr="00D811E2" w14:paraId="4A5D1205" w14:textId="77777777" w:rsidTr="00032492">
        <w:trPr>
          <w:cnfStyle w:val="000000100000" w:firstRow="0" w:lastRow="0" w:firstColumn="0" w:lastColumn="0" w:oddVBand="0" w:evenVBand="0" w:oddHBand="1" w:evenHBand="0" w:firstRowFirstColumn="0" w:firstRowLastColumn="0" w:lastRowFirstColumn="0" w:lastRowLastColumn="0"/>
          <w:trHeight w:val="945"/>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275C0D6F" w14:textId="77777777" w:rsidR="00457572" w:rsidRPr="00D811E2" w:rsidRDefault="00457572" w:rsidP="00457572">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Līdz attiecīgajam gadam papildus novērstie priekšlaicīgas nāves gadījumi vecumgrupā 15-64 g., cilv. sk.</w:t>
            </w:r>
          </w:p>
        </w:tc>
        <w:tc>
          <w:tcPr>
            <w:tcW w:w="851" w:type="dxa"/>
            <w:noWrap/>
            <w:vAlign w:val="center"/>
            <w:hideMark/>
          </w:tcPr>
          <w:p w14:paraId="117C2116"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2865</w:t>
            </w:r>
          </w:p>
        </w:tc>
        <w:tc>
          <w:tcPr>
            <w:tcW w:w="850" w:type="dxa"/>
            <w:noWrap/>
            <w:vAlign w:val="center"/>
            <w:hideMark/>
          </w:tcPr>
          <w:p w14:paraId="620E0096"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2281</w:t>
            </w:r>
          </w:p>
        </w:tc>
        <w:tc>
          <w:tcPr>
            <w:tcW w:w="851" w:type="dxa"/>
            <w:noWrap/>
            <w:vAlign w:val="center"/>
            <w:hideMark/>
          </w:tcPr>
          <w:p w14:paraId="4E397227"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1752</w:t>
            </w:r>
          </w:p>
        </w:tc>
        <w:tc>
          <w:tcPr>
            <w:tcW w:w="850" w:type="dxa"/>
            <w:noWrap/>
            <w:vAlign w:val="center"/>
            <w:hideMark/>
          </w:tcPr>
          <w:p w14:paraId="0CDD1F15"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1283</w:t>
            </w:r>
          </w:p>
        </w:tc>
        <w:tc>
          <w:tcPr>
            <w:tcW w:w="851" w:type="dxa"/>
            <w:noWrap/>
            <w:vAlign w:val="center"/>
            <w:hideMark/>
          </w:tcPr>
          <w:p w14:paraId="19FE2519"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877</w:t>
            </w:r>
          </w:p>
        </w:tc>
        <w:tc>
          <w:tcPr>
            <w:tcW w:w="850" w:type="dxa"/>
            <w:noWrap/>
            <w:vAlign w:val="center"/>
            <w:hideMark/>
          </w:tcPr>
          <w:p w14:paraId="45E1F9F6"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539</w:t>
            </w:r>
          </w:p>
        </w:tc>
        <w:tc>
          <w:tcPr>
            <w:tcW w:w="851" w:type="dxa"/>
            <w:noWrap/>
            <w:vAlign w:val="center"/>
            <w:hideMark/>
          </w:tcPr>
          <w:p w14:paraId="093F2FF5"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276</w:t>
            </w:r>
          </w:p>
        </w:tc>
        <w:tc>
          <w:tcPr>
            <w:tcW w:w="850" w:type="dxa"/>
            <w:noWrap/>
            <w:vAlign w:val="center"/>
            <w:hideMark/>
          </w:tcPr>
          <w:p w14:paraId="581F7875"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94</w:t>
            </w:r>
          </w:p>
        </w:tc>
      </w:tr>
      <w:tr w:rsidR="00D811E2" w:rsidRPr="00D811E2" w14:paraId="1C940EDC" w14:textId="77777777" w:rsidTr="00032492">
        <w:trPr>
          <w:trHeight w:val="630"/>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6F892AC5" w14:textId="77777777" w:rsidR="00457572" w:rsidRPr="00D811E2" w:rsidRDefault="00457572" w:rsidP="00457572">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Papildus darbaspēks (nodarbināto skaits) 15-64 g.v., cilv. sk.</w:t>
            </w:r>
          </w:p>
        </w:tc>
        <w:tc>
          <w:tcPr>
            <w:tcW w:w="851" w:type="dxa"/>
            <w:noWrap/>
            <w:vAlign w:val="center"/>
            <w:hideMark/>
          </w:tcPr>
          <w:p w14:paraId="7C3AC96A"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1785</w:t>
            </w:r>
          </w:p>
        </w:tc>
        <w:tc>
          <w:tcPr>
            <w:tcW w:w="850" w:type="dxa"/>
            <w:noWrap/>
            <w:vAlign w:val="center"/>
            <w:hideMark/>
          </w:tcPr>
          <w:p w14:paraId="764DDF77"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1419</w:t>
            </w:r>
          </w:p>
        </w:tc>
        <w:tc>
          <w:tcPr>
            <w:tcW w:w="851" w:type="dxa"/>
            <w:noWrap/>
            <w:vAlign w:val="center"/>
            <w:hideMark/>
          </w:tcPr>
          <w:p w14:paraId="2482D118"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1088</w:t>
            </w:r>
          </w:p>
        </w:tc>
        <w:tc>
          <w:tcPr>
            <w:tcW w:w="850" w:type="dxa"/>
            <w:noWrap/>
            <w:vAlign w:val="center"/>
            <w:hideMark/>
          </w:tcPr>
          <w:p w14:paraId="499C38BF"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795</w:t>
            </w:r>
          </w:p>
        </w:tc>
        <w:tc>
          <w:tcPr>
            <w:tcW w:w="851" w:type="dxa"/>
            <w:noWrap/>
            <w:vAlign w:val="center"/>
            <w:hideMark/>
          </w:tcPr>
          <w:p w14:paraId="0939C59E"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542</w:t>
            </w:r>
          </w:p>
        </w:tc>
        <w:tc>
          <w:tcPr>
            <w:tcW w:w="850" w:type="dxa"/>
            <w:noWrap/>
            <w:vAlign w:val="center"/>
            <w:hideMark/>
          </w:tcPr>
          <w:p w14:paraId="085EE3CB"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333</w:t>
            </w:r>
          </w:p>
        </w:tc>
        <w:tc>
          <w:tcPr>
            <w:tcW w:w="851" w:type="dxa"/>
            <w:noWrap/>
            <w:vAlign w:val="center"/>
            <w:hideMark/>
          </w:tcPr>
          <w:p w14:paraId="3B55885C"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170</w:t>
            </w:r>
          </w:p>
        </w:tc>
        <w:tc>
          <w:tcPr>
            <w:tcW w:w="850" w:type="dxa"/>
            <w:noWrap/>
            <w:vAlign w:val="center"/>
            <w:hideMark/>
          </w:tcPr>
          <w:p w14:paraId="5B5D124E" w14:textId="77777777" w:rsidR="00457572" w:rsidRPr="00D811E2" w:rsidRDefault="00457572"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58</w:t>
            </w:r>
          </w:p>
        </w:tc>
      </w:tr>
      <w:tr w:rsidR="00D811E2" w:rsidRPr="00D811E2" w14:paraId="6DCA4CD2" w14:textId="77777777" w:rsidTr="000324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770ABD33" w14:textId="77777777" w:rsidR="00457572" w:rsidRPr="00D811E2" w:rsidRDefault="00457572" w:rsidP="00457572">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 xml:space="preserve">IKP pieaugums, milj. </w:t>
            </w:r>
            <w:r w:rsidRPr="00D811E2">
              <w:rPr>
                <w:rFonts w:ascii="Times New Roman" w:eastAsia="Times New Roman" w:hAnsi="Times New Roman" w:cs="Times New Roman"/>
                <w:b w:val="0"/>
                <w:i/>
                <w:iCs/>
                <w:color w:val="auto"/>
                <w:sz w:val="20"/>
                <w:szCs w:val="20"/>
                <w:lang w:eastAsia="lv-LV"/>
              </w:rPr>
              <w:t>euro</w:t>
            </w:r>
          </w:p>
        </w:tc>
        <w:tc>
          <w:tcPr>
            <w:tcW w:w="851" w:type="dxa"/>
            <w:noWrap/>
            <w:vAlign w:val="center"/>
            <w:hideMark/>
          </w:tcPr>
          <w:p w14:paraId="72093EF7"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49,5</w:t>
            </w:r>
          </w:p>
        </w:tc>
        <w:tc>
          <w:tcPr>
            <w:tcW w:w="850" w:type="dxa"/>
            <w:noWrap/>
            <w:vAlign w:val="center"/>
            <w:hideMark/>
          </w:tcPr>
          <w:p w14:paraId="67C18A3B"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38,9</w:t>
            </w:r>
          </w:p>
        </w:tc>
        <w:tc>
          <w:tcPr>
            <w:tcW w:w="851" w:type="dxa"/>
            <w:noWrap/>
            <w:vAlign w:val="center"/>
            <w:hideMark/>
          </w:tcPr>
          <w:p w14:paraId="06E0E70F"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29,5</w:t>
            </w:r>
          </w:p>
        </w:tc>
        <w:tc>
          <w:tcPr>
            <w:tcW w:w="850" w:type="dxa"/>
            <w:noWrap/>
            <w:vAlign w:val="center"/>
            <w:hideMark/>
          </w:tcPr>
          <w:p w14:paraId="7D0CD3F5"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21,3</w:t>
            </w:r>
          </w:p>
        </w:tc>
        <w:tc>
          <w:tcPr>
            <w:tcW w:w="851" w:type="dxa"/>
            <w:noWrap/>
            <w:vAlign w:val="center"/>
            <w:hideMark/>
          </w:tcPr>
          <w:p w14:paraId="702C4FF8"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14,4</w:t>
            </w:r>
          </w:p>
        </w:tc>
        <w:tc>
          <w:tcPr>
            <w:tcW w:w="850" w:type="dxa"/>
            <w:noWrap/>
            <w:vAlign w:val="center"/>
            <w:hideMark/>
          </w:tcPr>
          <w:p w14:paraId="6F04C192"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8,7</w:t>
            </w:r>
          </w:p>
        </w:tc>
        <w:tc>
          <w:tcPr>
            <w:tcW w:w="851" w:type="dxa"/>
            <w:noWrap/>
            <w:vAlign w:val="center"/>
            <w:hideMark/>
          </w:tcPr>
          <w:p w14:paraId="2482EE35"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4,4</w:t>
            </w:r>
          </w:p>
        </w:tc>
        <w:tc>
          <w:tcPr>
            <w:tcW w:w="850" w:type="dxa"/>
            <w:noWrap/>
            <w:vAlign w:val="center"/>
            <w:hideMark/>
          </w:tcPr>
          <w:p w14:paraId="4DF93DF2" w14:textId="77777777" w:rsidR="00457572" w:rsidRPr="00D811E2" w:rsidRDefault="00457572"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1,5</w:t>
            </w:r>
          </w:p>
        </w:tc>
      </w:tr>
      <w:tr w:rsidR="00D811E2" w:rsidRPr="00D811E2" w14:paraId="6AA2A5AA" w14:textId="77777777" w:rsidTr="00032492">
        <w:trPr>
          <w:trHeight w:val="630"/>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04F20150" w14:textId="77777777" w:rsidR="00457572" w:rsidRPr="00D811E2" w:rsidRDefault="00457572" w:rsidP="00457572">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 xml:space="preserve">Kopā IKP pieaugums no 2013.gada līdz 2020.gadam, milj. </w:t>
            </w:r>
            <w:r w:rsidRPr="00D811E2">
              <w:rPr>
                <w:rFonts w:ascii="Times New Roman" w:eastAsia="Times New Roman" w:hAnsi="Times New Roman" w:cs="Times New Roman"/>
                <w:b w:val="0"/>
                <w:i/>
                <w:iCs/>
                <w:color w:val="auto"/>
                <w:sz w:val="20"/>
                <w:szCs w:val="20"/>
                <w:lang w:eastAsia="lv-LV"/>
              </w:rPr>
              <w:t>euro</w:t>
            </w:r>
          </w:p>
        </w:tc>
        <w:tc>
          <w:tcPr>
            <w:tcW w:w="6804" w:type="dxa"/>
            <w:gridSpan w:val="8"/>
            <w:noWrap/>
            <w:vAlign w:val="center"/>
            <w:hideMark/>
          </w:tcPr>
          <w:p w14:paraId="532918A0" w14:textId="77777777" w:rsidR="00457572" w:rsidRPr="00D811E2" w:rsidRDefault="00457572" w:rsidP="007B70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168,2</w:t>
            </w:r>
          </w:p>
        </w:tc>
      </w:tr>
      <w:tr w:rsidR="00D811E2" w:rsidRPr="00D811E2" w14:paraId="448764F9" w14:textId="77777777" w:rsidTr="00032492">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2429" w:type="dxa"/>
            <w:hideMark/>
          </w:tcPr>
          <w:p w14:paraId="7CBA480A" w14:textId="77777777" w:rsidR="00457572" w:rsidRPr="00D811E2" w:rsidRDefault="00457572" w:rsidP="00457572">
            <w:pPr>
              <w:rPr>
                <w:rFonts w:ascii="Times New Roman" w:eastAsia="Times New Roman" w:hAnsi="Times New Roman" w:cs="Times New Roman"/>
                <w:b w:val="0"/>
                <w:color w:val="auto"/>
                <w:sz w:val="20"/>
                <w:szCs w:val="20"/>
                <w:lang w:eastAsia="lv-LV"/>
              </w:rPr>
            </w:pPr>
            <w:r w:rsidRPr="00D811E2">
              <w:rPr>
                <w:rFonts w:ascii="Times New Roman" w:eastAsia="Times New Roman" w:hAnsi="Times New Roman" w:cs="Times New Roman"/>
                <w:b w:val="0"/>
                <w:color w:val="auto"/>
                <w:sz w:val="20"/>
                <w:szCs w:val="20"/>
                <w:lang w:eastAsia="lv-LV"/>
              </w:rPr>
              <w:t xml:space="preserve">Diskontētā IKP pieauguma vērtība 2014. gadā, milj. </w:t>
            </w:r>
            <w:r w:rsidRPr="00D811E2">
              <w:rPr>
                <w:rFonts w:ascii="Times New Roman" w:eastAsia="Times New Roman" w:hAnsi="Times New Roman" w:cs="Times New Roman"/>
                <w:b w:val="0"/>
                <w:i/>
                <w:iCs/>
                <w:color w:val="auto"/>
                <w:sz w:val="20"/>
                <w:szCs w:val="20"/>
                <w:lang w:eastAsia="lv-LV"/>
              </w:rPr>
              <w:t>euro</w:t>
            </w:r>
          </w:p>
        </w:tc>
        <w:tc>
          <w:tcPr>
            <w:tcW w:w="6804" w:type="dxa"/>
            <w:gridSpan w:val="8"/>
            <w:noWrap/>
            <w:vAlign w:val="center"/>
            <w:hideMark/>
          </w:tcPr>
          <w:p w14:paraId="116AAD4F" w14:textId="77777777" w:rsidR="00457572" w:rsidRPr="00D811E2" w:rsidRDefault="00457572" w:rsidP="007B70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D811E2">
              <w:rPr>
                <w:rFonts w:ascii="Times New Roman" w:eastAsia="Times New Roman" w:hAnsi="Times New Roman" w:cs="Times New Roman"/>
                <w:color w:val="auto"/>
                <w:sz w:val="20"/>
                <w:szCs w:val="20"/>
                <w:lang w:eastAsia="lv-LV"/>
              </w:rPr>
              <w:t>137,4</w:t>
            </w:r>
          </w:p>
        </w:tc>
      </w:tr>
    </w:tbl>
    <w:p w14:paraId="48D1B56B" w14:textId="1DF27843" w:rsidR="00252E16" w:rsidRDefault="009267FC" w:rsidP="003F7B43">
      <w:pPr>
        <w:autoSpaceDE w:val="0"/>
        <w:autoSpaceDN w:val="0"/>
        <w:adjustRightInd w:val="0"/>
        <w:spacing w:before="120" w:after="60" w:line="240" w:lineRule="auto"/>
        <w:ind w:firstLine="720"/>
        <w:jc w:val="both"/>
        <w:rPr>
          <w:rFonts w:ascii="Times New Roman" w:eastAsiaTheme="minorHAnsi" w:hAnsi="Times New Roman"/>
          <w:bCs/>
          <w:kern w:val="36"/>
          <w:sz w:val="24"/>
        </w:rPr>
      </w:pPr>
      <w:r w:rsidRPr="009267FC">
        <w:rPr>
          <w:rFonts w:ascii="Times New Roman" w:eastAsiaTheme="minorHAnsi" w:hAnsi="Times New Roman"/>
          <w:bCs/>
          <w:kern w:val="36"/>
          <w:sz w:val="24"/>
        </w:rPr>
        <w:t xml:space="preserve">Ja PZDG samazinājums būs lielāks un sasniegs slimību profilakses un kontroles centra prognozētos 4768 gadus uz 100 000 iedzīvotājiem 2020. gadā (reālistiski optimistiskais scenārijs), diskontētā ekonomiskā ieguvuma vērtība 2014. gadā būs 254,9 milj. </w:t>
      </w:r>
      <w:r w:rsidR="00780B40">
        <w:rPr>
          <w:rFonts w:ascii="Times New Roman" w:eastAsiaTheme="minorHAnsi" w:hAnsi="Times New Roman"/>
          <w:bCs/>
          <w:i/>
          <w:kern w:val="36"/>
          <w:sz w:val="24"/>
        </w:rPr>
        <w:t>euro</w:t>
      </w:r>
      <w:r w:rsidRPr="009267FC">
        <w:rPr>
          <w:rFonts w:ascii="Times New Roman" w:eastAsiaTheme="minorHAnsi" w:hAnsi="Times New Roman"/>
          <w:bCs/>
          <w:kern w:val="36"/>
          <w:sz w:val="24"/>
        </w:rPr>
        <w:t xml:space="preserve">. </w:t>
      </w:r>
    </w:p>
    <w:p w14:paraId="18C20EBF" w14:textId="74455337" w:rsidR="002D4880" w:rsidRDefault="0057255A" w:rsidP="0020740D">
      <w:pPr>
        <w:autoSpaceDE w:val="0"/>
        <w:autoSpaceDN w:val="0"/>
        <w:adjustRightInd w:val="0"/>
        <w:spacing w:before="160" w:after="60" w:line="240" w:lineRule="auto"/>
        <w:ind w:firstLine="720"/>
        <w:jc w:val="right"/>
        <w:rPr>
          <w:rFonts w:ascii="Times New Roman" w:eastAsiaTheme="minorHAnsi" w:hAnsi="Times New Roman"/>
          <w:bCs/>
          <w:kern w:val="36"/>
          <w:sz w:val="24"/>
        </w:rPr>
      </w:pPr>
      <w:r w:rsidRPr="0057255A">
        <w:rPr>
          <w:rFonts w:ascii="Times New Roman" w:eastAsiaTheme="minorHAnsi" w:hAnsi="Times New Roman"/>
          <w:b/>
          <w:bCs/>
          <w:kern w:val="36"/>
          <w:sz w:val="24"/>
        </w:rPr>
        <w:t>3.7.t</w:t>
      </w:r>
      <w:r w:rsidR="00BB3847" w:rsidRPr="0057255A">
        <w:rPr>
          <w:rFonts w:ascii="Times New Roman" w:eastAsiaTheme="minorHAnsi" w:hAnsi="Times New Roman"/>
          <w:b/>
          <w:bCs/>
          <w:kern w:val="36"/>
          <w:sz w:val="24"/>
        </w:rPr>
        <w:t>abula.</w:t>
      </w:r>
      <w:r w:rsidR="00BB3847" w:rsidRPr="00BB3847">
        <w:rPr>
          <w:rFonts w:ascii="Times New Roman" w:eastAsiaTheme="minorHAnsi" w:hAnsi="Times New Roman"/>
          <w:b/>
          <w:bCs/>
          <w:kern w:val="36"/>
          <w:sz w:val="24"/>
        </w:rPr>
        <w:t xml:space="preserve"> </w:t>
      </w:r>
      <w:r w:rsidR="00BB3847" w:rsidRPr="002D4880">
        <w:rPr>
          <w:rFonts w:ascii="Times New Roman" w:eastAsiaTheme="minorHAnsi" w:hAnsi="Times New Roman"/>
          <w:b/>
          <w:bCs/>
          <w:kern w:val="36"/>
          <w:sz w:val="24"/>
        </w:rPr>
        <w:t xml:space="preserve">Sagaidāmais IKP pieaugums no PZDG rādītāja samazinājuma sasniegšanas līdz 2020.gadam – reālistiski-optimistiskais scenārijs, milj. </w:t>
      </w:r>
      <w:r>
        <w:rPr>
          <w:rFonts w:ascii="Times New Roman" w:eastAsiaTheme="minorHAnsi" w:hAnsi="Times New Roman"/>
          <w:b/>
          <w:bCs/>
          <w:i/>
          <w:kern w:val="36"/>
          <w:sz w:val="24"/>
        </w:rPr>
        <w:t>euro</w:t>
      </w:r>
    </w:p>
    <w:tbl>
      <w:tblPr>
        <w:tblStyle w:val="GridTable6ColorfulAccent1"/>
        <w:tblW w:w="9356" w:type="dxa"/>
        <w:jc w:val="center"/>
        <w:tblLook w:val="04A0" w:firstRow="1" w:lastRow="0" w:firstColumn="1" w:lastColumn="0" w:noHBand="0" w:noVBand="1"/>
      </w:tblPr>
      <w:tblGrid>
        <w:gridCol w:w="2552"/>
        <w:gridCol w:w="851"/>
        <w:gridCol w:w="850"/>
        <w:gridCol w:w="851"/>
        <w:gridCol w:w="850"/>
        <w:gridCol w:w="851"/>
        <w:gridCol w:w="850"/>
        <w:gridCol w:w="851"/>
        <w:gridCol w:w="850"/>
      </w:tblGrid>
      <w:tr w:rsidR="002D4880" w:rsidRPr="002D4880" w14:paraId="03421C9B" w14:textId="77777777" w:rsidTr="00032492">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52" w:type="dxa"/>
            <w:noWrap/>
            <w:hideMark/>
          </w:tcPr>
          <w:p w14:paraId="61EBC264" w14:textId="77777777" w:rsidR="002D4880" w:rsidRPr="002D4880" w:rsidRDefault="002D4880" w:rsidP="002D4880">
            <w:pPr>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 </w:t>
            </w:r>
          </w:p>
        </w:tc>
        <w:tc>
          <w:tcPr>
            <w:tcW w:w="851" w:type="dxa"/>
            <w:noWrap/>
            <w:vAlign w:val="center"/>
            <w:hideMark/>
          </w:tcPr>
          <w:p w14:paraId="2C8D5E1B" w14:textId="77777777" w:rsidR="002D4880" w:rsidRPr="00D811E2" w:rsidRDefault="002D4880"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D811E2">
              <w:rPr>
                <w:rFonts w:ascii="Times New Roman" w:eastAsia="Times New Roman" w:hAnsi="Times New Roman" w:cs="Times New Roman"/>
                <w:bCs w:val="0"/>
                <w:color w:val="000000"/>
                <w:sz w:val="20"/>
                <w:szCs w:val="20"/>
                <w:lang w:eastAsia="lv-LV"/>
              </w:rPr>
              <w:t>2020</w:t>
            </w:r>
          </w:p>
        </w:tc>
        <w:tc>
          <w:tcPr>
            <w:tcW w:w="850" w:type="dxa"/>
            <w:noWrap/>
            <w:vAlign w:val="center"/>
            <w:hideMark/>
          </w:tcPr>
          <w:p w14:paraId="465FFB3D" w14:textId="77777777" w:rsidR="002D4880" w:rsidRPr="00D811E2" w:rsidRDefault="002D4880"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D811E2">
              <w:rPr>
                <w:rFonts w:ascii="Times New Roman" w:eastAsia="Times New Roman" w:hAnsi="Times New Roman" w:cs="Times New Roman"/>
                <w:bCs w:val="0"/>
                <w:color w:val="000000"/>
                <w:sz w:val="20"/>
                <w:szCs w:val="20"/>
                <w:lang w:eastAsia="lv-LV"/>
              </w:rPr>
              <w:t>2019</w:t>
            </w:r>
          </w:p>
        </w:tc>
        <w:tc>
          <w:tcPr>
            <w:tcW w:w="851" w:type="dxa"/>
            <w:noWrap/>
            <w:vAlign w:val="center"/>
            <w:hideMark/>
          </w:tcPr>
          <w:p w14:paraId="6B362D4C" w14:textId="77777777" w:rsidR="002D4880" w:rsidRPr="00D811E2" w:rsidRDefault="002D4880"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D811E2">
              <w:rPr>
                <w:rFonts w:ascii="Times New Roman" w:eastAsia="Times New Roman" w:hAnsi="Times New Roman" w:cs="Times New Roman"/>
                <w:bCs w:val="0"/>
                <w:color w:val="000000"/>
                <w:sz w:val="20"/>
                <w:szCs w:val="20"/>
                <w:lang w:eastAsia="lv-LV"/>
              </w:rPr>
              <w:t>2018</w:t>
            </w:r>
          </w:p>
        </w:tc>
        <w:tc>
          <w:tcPr>
            <w:tcW w:w="850" w:type="dxa"/>
            <w:noWrap/>
            <w:vAlign w:val="center"/>
            <w:hideMark/>
          </w:tcPr>
          <w:p w14:paraId="1874AA28" w14:textId="77777777" w:rsidR="002D4880" w:rsidRPr="00D811E2" w:rsidRDefault="002D4880"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D811E2">
              <w:rPr>
                <w:rFonts w:ascii="Times New Roman" w:eastAsia="Times New Roman" w:hAnsi="Times New Roman" w:cs="Times New Roman"/>
                <w:bCs w:val="0"/>
                <w:color w:val="000000"/>
                <w:sz w:val="20"/>
                <w:szCs w:val="20"/>
                <w:lang w:eastAsia="lv-LV"/>
              </w:rPr>
              <w:t>2017</w:t>
            </w:r>
          </w:p>
        </w:tc>
        <w:tc>
          <w:tcPr>
            <w:tcW w:w="851" w:type="dxa"/>
            <w:noWrap/>
            <w:vAlign w:val="center"/>
            <w:hideMark/>
          </w:tcPr>
          <w:p w14:paraId="4EB08996" w14:textId="77777777" w:rsidR="002D4880" w:rsidRPr="00D811E2" w:rsidRDefault="002D4880"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D811E2">
              <w:rPr>
                <w:rFonts w:ascii="Times New Roman" w:eastAsia="Times New Roman" w:hAnsi="Times New Roman" w:cs="Times New Roman"/>
                <w:bCs w:val="0"/>
                <w:color w:val="000000"/>
                <w:sz w:val="20"/>
                <w:szCs w:val="20"/>
                <w:lang w:eastAsia="lv-LV"/>
              </w:rPr>
              <w:t>2016</w:t>
            </w:r>
          </w:p>
        </w:tc>
        <w:tc>
          <w:tcPr>
            <w:tcW w:w="850" w:type="dxa"/>
            <w:noWrap/>
            <w:vAlign w:val="center"/>
            <w:hideMark/>
          </w:tcPr>
          <w:p w14:paraId="659B1D27" w14:textId="77777777" w:rsidR="002D4880" w:rsidRPr="00D811E2" w:rsidRDefault="002D4880"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D811E2">
              <w:rPr>
                <w:rFonts w:ascii="Times New Roman" w:eastAsia="Times New Roman" w:hAnsi="Times New Roman" w:cs="Times New Roman"/>
                <w:bCs w:val="0"/>
                <w:color w:val="000000"/>
                <w:sz w:val="20"/>
                <w:szCs w:val="20"/>
                <w:lang w:eastAsia="lv-LV"/>
              </w:rPr>
              <w:t>2015</w:t>
            </w:r>
          </w:p>
        </w:tc>
        <w:tc>
          <w:tcPr>
            <w:tcW w:w="851" w:type="dxa"/>
            <w:noWrap/>
            <w:vAlign w:val="center"/>
            <w:hideMark/>
          </w:tcPr>
          <w:p w14:paraId="0ABA3CF5" w14:textId="77777777" w:rsidR="002D4880" w:rsidRPr="00D811E2" w:rsidRDefault="002D4880"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D811E2">
              <w:rPr>
                <w:rFonts w:ascii="Times New Roman" w:eastAsia="Times New Roman" w:hAnsi="Times New Roman" w:cs="Times New Roman"/>
                <w:bCs w:val="0"/>
                <w:color w:val="000000"/>
                <w:sz w:val="20"/>
                <w:szCs w:val="20"/>
                <w:lang w:eastAsia="lv-LV"/>
              </w:rPr>
              <w:t>2014</w:t>
            </w:r>
          </w:p>
        </w:tc>
        <w:tc>
          <w:tcPr>
            <w:tcW w:w="850" w:type="dxa"/>
            <w:noWrap/>
            <w:vAlign w:val="center"/>
            <w:hideMark/>
          </w:tcPr>
          <w:p w14:paraId="25C14A0A" w14:textId="77777777" w:rsidR="002D4880" w:rsidRPr="00D811E2" w:rsidRDefault="002D4880" w:rsidP="00D811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D811E2">
              <w:rPr>
                <w:rFonts w:ascii="Times New Roman" w:eastAsia="Times New Roman" w:hAnsi="Times New Roman" w:cs="Times New Roman"/>
                <w:bCs w:val="0"/>
                <w:color w:val="000000"/>
                <w:sz w:val="20"/>
                <w:szCs w:val="20"/>
                <w:lang w:eastAsia="lv-LV"/>
              </w:rPr>
              <w:t>2013</w:t>
            </w:r>
          </w:p>
        </w:tc>
      </w:tr>
      <w:tr w:rsidR="002D4880" w:rsidRPr="002D4880" w14:paraId="3B891538" w14:textId="77777777" w:rsidTr="00032492">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2552" w:type="dxa"/>
            <w:hideMark/>
          </w:tcPr>
          <w:p w14:paraId="1A5017EA" w14:textId="77777777" w:rsidR="002D4880" w:rsidRPr="00D811E2" w:rsidRDefault="002D4880" w:rsidP="002D4880">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Līdz attiecīgajam gadam papildus novērstie PZDG, gadu sk.</w:t>
            </w:r>
          </w:p>
        </w:tc>
        <w:tc>
          <w:tcPr>
            <w:tcW w:w="851" w:type="dxa"/>
            <w:noWrap/>
            <w:vAlign w:val="center"/>
            <w:hideMark/>
          </w:tcPr>
          <w:p w14:paraId="0DB228EE"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18666</w:t>
            </w:r>
          </w:p>
        </w:tc>
        <w:tc>
          <w:tcPr>
            <w:tcW w:w="850" w:type="dxa"/>
            <w:noWrap/>
            <w:vAlign w:val="center"/>
            <w:hideMark/>
          </w:tcPr>
          <w:p w14:paraId="06D8F06E"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16371</w:t>
            </w:r>
          </w:p>
        </w:tc>
        <w:tc>
          <w:tcPr>
            <w:tcW w:w="851" w:type="dxa"/>
            <w:noWrap/>
            <w:vAlign w:val="center"/>
            <w:hideMark/>
          </w:tcPr>
          <w:p w14:paraId="4B8C67C1"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14064</w:t>
            </w:r>
          </w:p>
        </w:tc>
        <w:tc>
          <w:tcPr>
            <w:tcW w:w="850" w:type="dxa"/>
            <w:noWrap/>
            <w:vAlign w:val="center"/>
            <w:hideMark/>
          </w:tcPr>
          <w:p w14:paraId="64752F01"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11747</w:t>
            </w:r>
          </w:p>
        </w:tc>
        <w:tc>
          <w:tcPr>
            <w:tcW w:w="851" w:type="dxa"/>
            <w:noWrap/>
            <w:vAlign w:val="center"/>
            <w:hideMark/>
          </w:tcPr>
          <w:p w14:paraId="7E9915AC"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9420</w:t>
            </w:r>
          </w:p>
        </w:tc>
        <w:tc>
          <w:tcPr>
            <w:tcW w:w="850" w:type="dxa"/>
            <w:noWrap/>
            <w:vAlign w:val="center"/>
            <w:hideMark/>
          </w:tcPr>
          <w:p w14:paraId="51E15F4B"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7081</w:t>
            </w:r>
          </w:p>
        </w:tc>
        <w:tc>
          <w:tcPr>
            <w:tcW w:w="851" w:type="dxa"/>
            <w:noWrap/>
            <w:vAlign w:val="center"/>
            <w:hideMark/>
          </w:tcPr>
          <w:p w14:paraId="4E11AB2B"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4731</w:t>
            </w:r>
          </w:p>
        </w:tc>
        <w:tc>
          <w:tcPr>
            <w:tcW w:w="850" w:type="dxa"/>
            <w:noWrap/>
            <w:vAlign w:val="center"/>
            <w:hideMark/>
          </w:tcPr>
          <w:p w14:paraId="16E0722E"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2371</w:t>
            </w:r>
          </w:p>
        </w:tc>
      </w:tr>
      <w:tr w:rsidR="002D4880" w:rsidRPr="002D4880" w14:paraId="565B1015" w14:textId="77777777" w:rsidTr="00032492">
        <w:trPr>
          <w:trHeight w:val="315"/>
          <w:jc w:val="center"/>
        </w:trPr>
        <w:tc>
          <w:tcPr>
            <w:cnfStyle w:val="001000000000" w:firstRow="0" w:lastRow="0" w:firstColumn="1" w:lastColumn="0" w:oddVBand="0" w:evenVBand="0" w:oddHBand="0" w:evenHBand="0" w:firstRowFirstColumn="0" w:firstRowLastColumn="0" w:lastRowFirstColumn="0" w:lastRowLastColumn="0"/>
            <w:tcW w:w="2552" w:type="dxa"/>
            <w:hideMark/>
          </w:tcPr>
          <w:p w14:paraId="14FFDC43" w14:textId="77777777" w:rsidR="002D4880" w:rsidRPr="00D811E2" w:rsidRDefault="002D4880" w:rsidP="002D4880">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No tiem vecumgrupā 15-64 g., gadu sk.</w:t>
            </w:r>
          </w:p>
        </w:tc>
        <w:tc>
          <w:tcPr>
            <w:tcW w:w="851" w:type="dxa"/>
            <w:noWrap/>
            <w:vAlign w:val="center"/>
            <w:hideMark/>
          </w:tcPr>
          <w:p w14:paraId="36B1C4CA"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16653</w:t>
            </w:r>
          </w:p>
        </w:tc>
        <w:tc>
          <w:tcPr>
            <w:tcW w:w="850" w:type="dxa"/>
            <w:noWrap/>
            <w:vAlign w:val="center"/>
            <w:hideMark/>
          </w:tcPr>
          <w:p w14:paraId="5CD75A0A"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14605</w:t>
            </w:r>
          </w:p>
        </w:tc>
        <w:tc>
          <w:tcPr>
            <w:tcW w:w="851" w:type="dxa"/>
            <w:noWrap/>
            <w:vAlign w:val="center"/>
            <w:hideMark/>
          </w:tcPr>
          <w:p w14:paraId="4CA6179C"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12547</w:t>
            </w:r>
          </w:p>
        </w:tc>
        <w:tc>
          <w:tcPr>
            <w:tcW w:w="850" w:type="dxa"/>
            <w:noWrap/>
            <w:vAlign w:val="center"/>
            <w:hideMark/>
          </w:tcPr>
          <w:p w14:paraId="1AE49DAE"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10480</w:t>
            </w:r>
          </w:p>
        </w:tc>
        <w:tc>
          <w:tcPr>
            <w:tcW w:w="851" w:type="dxa"/>
            <w:noWrap/>
            <w:vAlign w:val="center"/>
            <w:hideMark/>
          </w:tcPr>
          <w:p w14:paraId="4F81E62A"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8403</w:t>
            </w:r>
          </w:p>
        </w:tc>
        <w:tc>
          <w:tcPr>
            <w:tcW w:w="850" w:type="dxa"/>
            <w:noWrap/>
            <w:vAlign w:val="center"/>
            <w:hideMark/>
          </w:tcPr>
          <w:p w14:paraId="4567BDD0"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6317</w:t>
            </w:r>
          </w:p>
        </w:tc>
        <w:tc>
          <w:tcPr>
            <w:tcW w:w="851" w:type="dxa"/>
            <w:noWrap/>
            <w:vAlign w:val="center"/>
            <w:hideMark/>
          </w:tcPr>
          <w:p w14:paraId="37E9A543"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4221</w:t>
            </w:r>
          </w:p>
        </w:tc>
        <w:tc>
          <w:tcPr>
            <w:tcW w:w="850" w:type="dxa"/>
            <w:noWrap/>
            <w:vAlign w:val="center"/>
            <w:hideMark/>
          </w:tcPr>
          <w:p w14:paraId="1975C6DF"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2115</w:t>
            </w:r>
          </w:p>
        </w:tc>
      </w:tr>
      <w:tr w:rsidR="002D4880" w:rsidRPr="002D4880" w14:paraId="1EBE6E54" w14:textId="77777777" w:rsidTr="00032492">
        <w:trPr>
          <w:cnfStyle w:val="000000100000" w:firstRow="0" w:lastRow="0" w:firstColumn="0" w:lastColumn="0" w:oddVBand="0" w:evenVBand="0" w:oddHBand="1" w:evenHBand="0" w:firstRowFirstColumn="0" w:firstRowLastColumn="0" w:lastRowFirstColumn="0" w:lastRowLastColumn="0"/>
          <w:trHeight w:val="945"/>
          <w:jc w:val="center"/>
        </w:trPr>
        <w:tc>
          <w:tcPr>
            <w:cnfStyle w:val="001000000000" w:firstRow="0" w:lastRow="0" w:firstColumn="1" w:lastColumn="0" w:oddVBand="0" w:evenVBand="0" w:oddHBand="0" w:evenHBand="0" w:firstRowFirstColumn="0" w:firstRowLastColumn="0" w:lastRowFirstColumn="0" w:lastRowLastColumn="0"/>
            <w:tcW w:w="2552" w:type="dxa"/>
            <w:hideMark/>
          </w:tcPr>
          <w:p w14:paraId="7E84E2DF" w14:textId="77777777" w:rsidR="002D4880" w:rsidRPr="00D811E2" w:rsidRDefault="002D4880" w:rsidP="002D4880">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Līdz attiecīgajam gadam papildus novērstie priekšlaicīgas nāves gadījumi vecumgrupā 15-64 g., cilv. sk.</w:t>
            </w:r>
          </w:p>
        </w:tc>
        <w:tc>
          <w:tcPr>
            <w:tcW w:w="851" w:type="dxa"/>
            <w:noWrap/>
            <w:vAlign w:val="center"/>
            <w:hideMark/>
          </w:tcPr>
          <w:p w14:paraId="4B007EC5"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5316</w:t>
            </w:r>
          </w:p>
        </w:tc>
        <w:tc>
          <w:tcPr>
            <w:tcW w:w="850" w:type="dxa"/>
            <w:noWrap/>
            <w:vAlign w:val="center"/>
            <w:hideMark/>
          </w:tcPr>
          <w:p w14:paraId="6D0C2BD9"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4233</w:t>
            </w:r>
          </w:p>
        </w:tc>
        <w:tc>
          <w:tcPr>
            <w:tcW w:w="851" w:type="dxa"/>
            <w:noWrap/>
            <w:vAlign w:val="center"/>
            <w:hideMark/>
          </w:tcPr>
          <w:p w14:paraId="06FB0D56"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3252</w:t>
            </w:r>
          </w:p>
        </w:tc>
        <w:tc>
          <w:tcPr>
            <w:tcW w:w="850" w:type="dxa"/>
            <w:noWrap/>
            <w:vAlign w:val="center"/>
            <w:hideMark/>
          </w:tcPr>
          <w:p w14:paraId="683B4620"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2380</w:t>
            </w:r>
          </w:p>
        </w:tc>
        <w:tc>
          <w:tcPr>
            <w:tcW w:w="851" w:type="dxa"/>
            <w:noWrap/>
            <w:vAlign w:val="center"/>
            <w:hideMark/>
          </w:tcPr>
          <w:p w14:paraId="44FE2812"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1627</w:t>
            </w:r>
          </w:p>
        </w:tc>
        <w:tc>
          <w:tcPr>
            <w:tcW w:w="850" w:type="dxa"/>
            <w:noWrap/>
            <w:vAlign w:val="center"/>
            <w:hideMark/>
          </w:tcPr>
          <w:p w14:paraId="65540A56"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1001</w:t>
            </w:r>
          </w:p>
        </w:tc>
        <w:tc>
          <w:tcPr>
            <w:tcW w:w="851" w:type="dxa"/>
            <w:noWrap/>
            <w:vAlign w:val="center"/>
            <w:hideMark/>
          </w:tcPr>
          <w:p w14:paraId="641D703D"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513</w:t>
            </w:r>
          </w:p>
        </w:tc>
        <w:tc>
          <w:tcPr>
            <w:tcW w:w="850" w:type="dxa"/>
            <w:noWrap/>
            <w:vAlign w:val="center"/>
            <w:hideMark/>
          </w:tcPr>
          <w:p w14:paraId="5867BCAF"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175</w:t>
            </w:r>
          </w:p>
        </w:tc>
      </w:tr>
      <w:tr w:rsidR="002D4880" w:rsidRPr="002D4880" w14:paraId="58423838" w14:textId="77777777" w:rsidTr="00032492">
        <w:trPr>
          <w:trHeight w:val="630"/>
          <w:jc w:val="center"/>
        </w:trPr>
        <w:tc>
          <w:tcPr>
            <w:cnfStyle w:val="001000000000" w:firstRow="0" w:lastRow="0" w:firstColumn="1" w:lastColumn="0" w:oddVBand="0" w:evenVBand="0" w:oddHBand="0" w:evenHBand="0" w:firstRowFirstColumn="0" w:firstRowLastColumn="0" w:lastRowFirstColumn="0" w:lastRowLastColumn="0"/>
            <w:tcW w:w="2552" w:type="dxa"/>
            <w:hideMark/>
          </w:tcPr>
          <w:p w14:paraId="0A9B3D73" w14:textId="77777777" w:rsidR="002D4880" w:rsidRPr="00D811E2" w:rsidRDefault="002D4880" w:rsidP="002D4880">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Papildus darbaspēks (nodarbināto skaits) 15-64 g.v., cilv. sk.</w:t>
            </w:r>
          </w:p>
        </w:tc>
        <w:tc>
          <w:tcPr>
            <w:tcW w:w="851" w:type="dxa"/>
            <w:noWrap/>
            <w:vAlign w:val="center"/>
            <w:hideMark/>
          </w:tcPr>
          <w:p w14:paraId="00910959"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3312</w:t>
            </w:r>
          </w:p>
        </w:tc>
        <w:tc>
          <w:tcPr>
            <w:tcW w:w="850" w:type="dxa"/>
            <w:noWrap/>
            <w:vAlign w:val="center"/>
            <w:hideMark/>
          </w:tcPr>
          <w:p w14:paraId="57204105"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2633</w:t>
            </w:r>
          </w:p>
        </w:tc>
        <w:tc>
          <w:tcPr>
            <w:tcW w:w="851" w:type="dxa"/>
            <w:noWrap/>
            <w:vAlign w:val="center"/>
            <w:hideMark/>
          </w:tcPr>
          <w:p w14:paraId="0B6B44AC"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2019</w:t>
            </w:r>
          </w:p>
        </w:tc>
        <w:tc>
          <w:tcPr>
            <w:tcW w:w="850" w:type="dxa"/>
            <w:noWrap/>
            <w:vAlign w:val="center"/>
            <w:hideMark/>
          </w:tcPr>
          <w:p w14:paraId="2D362FFC"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1475</w:t>
            </w:r>
          </w:p>
        </w:tc>
        <w:tc>
          <w:tcPr>
            <w:tcW w:w="851" w:type="dxa"/>
            <w:noWrap/>
            <w:vAlign w:val="center"/>
            <w:hideMark/>
          </w:tcPr>
          <w:p w14:paraId="12DBA48D"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1006</w:t>
            </w:r>
          </w:p>
        </w:tc>
        <w:tc>
          <w:tcPr>
            <w:tcW w:w="850" w:type="dxa"/>
            <w:noWrap/>
            <w:vAlign w:val="center"/>
            <w:hideMark/>
          </w:tcPr>
          <w:p w14:paraId="0F446C13"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617</w:t>
            </w:r>
          </w:p>
        </w:tc>
        <w:tc>
          <w:tcPr>
            <w:tcW w:w="851" w:type="dxa"/>
            <w:noWrap/>
            <w:vAlign w:val="center"/>
            <w:hideMark/>
          </w:tcPr>
          <w:p w14:paraId="4EF2C6E1"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315</w:t>
            </w:r>
          </w:p>
        </w:tc>
        <w:tc>
          <w:tcPr>
            <w:tcW w:w="850" w:type="dxa"/>
            <w:noWrap/>
            <w:vAlign w:val="center"/>
            <w:hideMark/>
          </w:tcPr>
          <w:p w14:paraId="52C4857F" w14:textId="77777777" w:rsidR="002D4880" w:rsidRPr="002D4880" w:rsidRDefault="002D4880"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107</w:t>
            </w:r>
          </w:p>
        </w:tc>
      </w:tr>
      <w:tr w:rsidR="002D4880" w:rsidRPr="002D4880" w14:paraId="6A585C18" w14:textId="77777777" w:rsidTr="000324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52" w:type="dxa"/>
            <w:hideMark/>
          </w:tcPr>
          <w:p w14:paraId="7F73A970" w14:textId="77777777" w:rsidR="002D4880" w:rsidRPr="00D811E2" w:rsidRDefault="002D4880" w:rsidP="002D4880">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IKP pieaugums, milj. </w:t>
            </w:r>
            <w:r w:rsidRPr="00D811E2">
              <w:rPr>
                <w:rFonts w:ascii="Times New Roman" w:eastAsia="Times New Roman" w:hAnsi="Times New Roman" w:cs="Times New Roman"/>
                <w:b w:val="0"/>
                <w:i/>
                <w:iCs/>
                <w:color w:val="000000"/>
                <w:sz w:val="20"/>
                <w:szCs w:val="20"/>
                <w:lang w:eastAsia="lv-LV"/>
              </w:rPr>
              <w:t>euro</w:t>
            </w:r>
          </w:p>
        </w:tc>
        <w:tc>
          <w:tcPr>
            <w:tcW w:w="851" w:type="dxa"/>
            <w:noWrap/>
            <w:vAlign w:val="center"/>
            <w:hideMark/>
          </w:tcPr>
          <w:p w14:paraId="13381983"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91,8</w:t>
            </w:r>
          </w:p>
        </w:tc>
        <w:tc>
          <w:tcPr>
            <w:tcW w:w="850" w:type="dxa"/>
            <w:noWrap/>
            <w:vAlign w:val="center"/>
            <w:hideMark/>
          </w:tcPr>
          <w:p w14:paraId="6A3778C0"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72,2</w:t>
            </w:r>
          </w:p>
        </w:tc>
        <w:tc>
          <w:tcPr>
            <w:tcW w:w="851" w:type="dxa"/>
            <w:noWrap/>
            <w:vAlign w:val="center"/>
            <w:hideMark/>
          </w:tcPr>
          <w:p w14:paraId="6D20467F"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54,7</w:t>
            </w:r>
          </w:p>
        </w:tc>
        <w:tc>
          <w:tcPr>
            <w:tcW w:w="850" w:type="dxa"/>
            <w:noWrap/>
            <w:vAlign w:val="center"/>
            <w:hideMark/>
          </w:tcPr>
          <w:p w14:paraId="0A3D73CC"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39,5</w:t>
            </w:r>
          </w:p>
        </w:tc>
        <w:tc>
          <w:tcPr>
            <w:tcW w:w="851" w:type="dxa"/>
            <w:noWrap/>
            <w:vAlign w:val="center"/>
            <w:hideMark/>
          </w:tcPr>
          <w:p w14:paraId="728FFDBF"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26,7</w:t>
            </w:r>
          </w:p>
        </w:tc>
        <w:tc>
          <w:tcPr>
            <w:tcW w:w="850" w:type="dxa"/>
            <w:noWrap/>
            <w:vAlign w:val="center"/>
            <w:hideMark/>
          </w:tcPr>
          <w:p w14:paraId="190681C6"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16,2</w:t>
            </w:r>
          </w:p>
        </w:tc>
        <w:tc>
          <w:tcPr>
            <w:tcW w:w="851" w:type="dxa"/>
            <w:noWrap/>
            <w:vAlign w:val="center"/>
            <w:hideMark/>
          </w:tcPr>
          <w:p w14:paraId="29AD464C"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8,2</w:t>
            </w:r>
          </w:p>
        </w:tc>
        <w:tc>
          <w:tcPr>
            <w:tcW w:w="850" w:type="dxa"/>
            <w:noWrap/>
            <w:vAlign w:val="center"/>
            <w:hideMark/>
          </w:tcPr>
          <w:p w14:paraId="776EA261" w14:textId="77777777" w:rsidR="002D4880" w:rsidRPr="002D4880" w:rsidRDefault="002D4880"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2,8</w:t>
            </w:r>
          </w:p>
        </w:tc>
      </w:tr>
      <w:tr w:rsidR="002D4880" w:rsidRPr="002D4880" w14:paraId="64CA2AD3" w14:textId="77777777" w:rsidTr="00032492">
        <w:trPr>
          <w:trHeight w:val="630"/>
          <w:jc w:val="center"/>
        </w:trPr>
        <w:tc>
          <w:tcPr>
            <w:cnfStyle w:val="001000000000" w:firstRow="0" w:lastRow="0" w:firstColumn="1" w:lastColumn="0" w:oddVBand="0" w:evenVBand="0" w:oddHBand="0" w:evenHBand="0" w:firstRowFirstColumn="0" w:firstRowLastColumn="0" w:lastRowFirstColumn="0" w:lastRowLastColumn="0"/>
            <w:tcW w:w="2552" w:type="dxa"/>
            <w:hideMark/>
          </w:tcPr>
          <w:p w14:paraId="5AD20478" w14:textId="77777777" w:rsidR="002D4880" w:rsidRPr="00D811E2" w:rsidRDefault="002D4880" w:rsidP="002D4880">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Kopā IKP pieaugums no 2013.gada līdz 2020.gadam, milj. </w:t>
            </w:r>
            <w:r w:rsidRPr="00D811E2">
              <w:rPr>
                <w:rFonts w:ascii="Times New Roman" w:eastAsia="Times New Roman" w:hAnsi="Times New Roman" w:cs="Times New Roman"/>
                <w:b w:val="0"/>
                <w:i/>
                <w:iCs/>
                <w:color w:val="000000"/>
                <w:sz w:val="20"/>
                <w:szCs w:val="20"/>
                <w:lang w:eastAsia="lv-LV"/>
              </w:rPr>
              <w:t>euro</w:t>
            </w:r>
          </w:p>
        </w:tc>
        <w:tc>
          <w:tcPr>
            <w:tcW w:w="6804" w:type="dxa"/>
            <w:gridSpan w:val="8"/>
            <w:noWrap/>
            <w:vAlign w:val="center"/>
            <w:hideMark/>
          </w:tcPr>
          <w:p w14:paraId="4602642F" w14:textId="77777777" w:rsidR="002D4880" w:rsidRPr="002D4880" w:rsidRDefault="002D4880" w:rsidP="007B70F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312,1</w:t>
            </w:r>
          </w:p>
        </w:tc>
      </w:tr>
      <w:tr w:rsidR="002D4880" w:rsidRPr="002D4880" w14:paraId="3F6A420D" w14:textId="77777777" w:rsidTr="00032492">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2552" w:type="dxa"/>
            <w:hideMark/>
          </w:tcPr>
          <w:p w14:paraId="3AD9D2FE" w14:textId="77777777" w:rsidR="002D4880" w:rsidRPr="00D811E2" w:rsidRDefault="002D4880" w:rsidP="002D4880">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Diskontētā IKP pieauguma vērtība 2014. gadā, milj. </w:t>
            </w:r>
            <w:r w:rsidRPr="00D811E2">
              <w:rPr>
                <w:rFonts w:ascii="Times New Roman" w:eastAsia="Times New Roman" w:hAnsi="Times New Roman" w:cs="Times New Roman"/>
                <w:b w:val="0"/>
                <w:i/>
                <w:iCs/>
                <w:color w:val="000000"/>
                <w:sz w:val="20"/>
                <w:szCs w:val="20"/>
                <w:lang w:eastAsia="lv-LV"/>
              </w:rPr>
              <w:t>euro</w:t>
            </w:r>
          </w:p>
        </w:tc>
        <w:tc>
          <w:tcPr>
            <w:tcW w:w="6804" w:type="dxa"/>
            <w:gridSpan w:val="8"/>
            <w:noWrap/>
            <w:vAlign w:val="center"/>
            <w:hideMark/>
          </w:tcPr>
          <w:p w14:paraId="51803B28" w14:textId="77777777" w:rsidR="002D4880" w:rsidRPr="002D4880" w:rsidRDefault="002D4880" w:rsidP="007B70F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2D4880">
              <w:rPr>
                <w:rFonts w:ascii="Times New Roman" w:eastAsia="Times New Roman" w:hAnsi="Times New Roman" w:cs="Times New Roman"/>
                <w:color w:val="000000"/>
                <w:sz w:val="20"/>
                <w:szCs w:val="20"/>
                <w:lang w:eastAsia="lv-LV"/>
              </w:rPr>
              <w:t>254,9</w:t>
            </w:r>
          </w:p>
        </w:tc>
      </w:tr>
    </w:tbl>
    <w:p w14:paraId="78B7ED6F" w14:textId="33195B7D" w:rsidR="009267FC" w:rsidRPr="009267FC" w:rsidRDefault="009267FC" w:rsidP="00F05D16">
      <w:pPr>
        <w:autoSpaceDE w:val="0"/>
        <w:autoSpaceDN w:val="0"/>
        <w:adjustRightInd w:val="0"/>
        <w:spacing w:before="240" w:after="60" w:line="240" w:lineRule="auto"/>
        <w:ind w:firstLine="720"/>
        <w:jc w:val="both"/>
        <w:rPr>
          <w:rFonts w:ascii="Times New Roman" w:eastAsiaTheme="minorHAnsi" w:hAnsi="Times New Roman"/>
          <w:b/>
          <w:bCs/>
          <w:kern w:val="36"/>
          <w:sz w:val="24"/>
        </w:rPr>
      </w:pPr>
      <w:r w:rsidRPr="009267FC">
        <w:rPr>
          <w:rFonts w:ascii="Times New Roman" w:eastAsiaTheme="minorHAnsi" w:hAnsi="Times New Roman"/>
          <w:bCs/>
          <w:kern w:val="36"/>
          <w:sz w:val="24"/>
        </w:rPr>
        <w:t xml:space="preserve">Pieņemot, ka visi līdz 2020. gadam "izglābtie", kuri līdz 2040. gadam nesasniegs 64 gadu vecumu, nodzīvos līdz šim gadam un būs tikpat darbspējīgi kā vidēji attiecīga vecuma Latvijas iedzīvotāji, kopējā IKP pieauguma no 2013. gada līdz 2040. gadam diskontētā vērtība 2014. gadā būs </w:t>
      </w:r>
      <w:r w:rsidRPr="009267FC">
        <w:rPr>
          <w:rFonts w:ascii="Times New Roman" w:eastAsiaTheme="minorHAnsi" w:hAnsi="Times New Roman"/>
          <w:b/>
          <w:bCs/>
          <w:kern w:val="36"/>
          <w:sz w:val="24"/>
        </w:rPr>
        <w:t xml:space="preserve">443,8 milj. </w:t>
      </w:r>
      <w:r w:rsidR="00780B40">
        <w:rPr>
          <w:rFonts w:ascii="Times New Roman" w:eastAsiaTheme="minorHAnsi" w:hAnsi="Times New Roman"/>
          <w:b/>
          <w:bCs/>
          <w:i/>
          <w:kern w:val="36"/>
          <w:sz w:val="24"/>
        </w:rPr>
        <w:t>euro</w:t>
      </w:r>
      <w:r w:rsidRPr="009267FC">
        <w:rPr>
          <w:rFonts w:ascii="Times New Roman" w:eastAsiaTheme="minorHAnsi" w:hAnsi="Times New Roman"/>
          <w:bCs/>
          <w:kern w:val="36"/>
          <w:sz w:val="24"/>
        </w:rPr>
        <w:t xml:space="preserve"> pesimistiskā scenārija gadījumā un </w:t>
      </w:r>
      <w:r w:rsidRPr="009267FC">
        <w:rPr>
          <w:rFonts w:ascii="Times New Roman" w:eastAsiaTheme="minorHAnsi" w:hAnsi="Times New Roman"/>
          <w:b/>
          <w:bCs/>
          <w:kern w:val="36"/>
          <w:sz w:val="24"/>
        </w:rPr>
        <w:t xml:space="preserve">823,5 mlj. </w:t>
      </w:r>
      <w:r w:rsidR="00780B40">
        <w:rPr>
          <w:rFonts w:ascii="Times New Roman" w:eastAsiaTheme="minorHAnsi" w:hAnsi="Times New Roman"/>
          <w:b/>
          <w:bCs/>
          <w:i/>
          <w:kern w:val="36"/>
          <w:sz w:val="24"/>
        </w:rPr>
        <w:t>euro</w:t>
      </w:r>
      <w:r w:rsidRPr="009267FC">
        <w:rPr>
          <w:rFonts w:ascii="Times New Roman" w:eastAsiaTheme="minorHAnsi" w:hAnsi="Times New Roman"/>
          <w:bCs/>
          <w:kern w:val="36"/>
          <w:sz w:val="24"/>
        </w:rPr>
        <w:t xml:space="preserve"> reālistiski optimistiskā scenārija gadījumā.</w:t>
      </w:r>
    </w:p>
    <w:p w14:paraId="431CB6A8" w14:textId="63CE6755" w:rsidR="009267FC" w:rsidRDefault="009267FC" w:rsidP="009267FC">
      <w:pPr>
        <w:autoSpaceDE w:val="0"/>
        <w:autoSpaceDN w:val="0"/>
        <w:adjustRightInd w:val="0"/>
        <w:spacing w:after="60" w:line="240" w:lineRule="auto"/>
        <w:ind w:firstLine="720"/>
        <w:jc w:val="both"/>
        <w:rPr>
          <w:rFonts w:ascii="Times New Roman" w:eastAsiaTheme="minorHAnsi" w:hAnsi="Times New Roman" w:cs="Times New Roman"/>
          <w:sz w:val="14"/>
          <w:szCs w:val="14"/>
        </w:rPr>
      </w:pPr>
      <w:r w:rsidRPr="009267FC">
        <w:rPr>
          <w:rFonts w:ascii="Times New Roman" w:eastAsiaTheme="minorHAnsi" w:hAnsi="Times New Roman"/>
          <w:b/>
          <w:bCs/>
          <w:kern w:val="36"/>
          <w:sz w:val="24"/>
        </w:rPr>
        <w:t>Izmaksu - ieguvumu analīze.</w:t>
      </w:r>
      <w:r w:rsidRPr="009267FC">
        <w:rPr>
          <w:rFonts w:ascii="Times New Roman" w:eastAsiaTheme="minorHAnsi" w:hAnsi="Times New Roman"/>
          <w:bCs/>
          <w:kern w:val="36"/>
          <w:sz w:val="24"/>
        </w:rPr>
        <w:t xml:space="preserve"> Veicot vienkāršotu izmaksu ieguvumu analīzi, Pētījumā tika konstatēts, ka veselības aprūpei papildus nepieciešamais finansējums līdz 2020.gadam, kas izteikts 2014.gada tagadnes vērtībā ir 813 milj. </w:t>
      </w:r>
      <w:r w:rsidRPr="00780B40">
        <w:rPr>
          <w:rFonts w:ascii="Times New Roman" w:eastAsiaTheme="minorHAnsi" w:hAnsi="Times New Roman"/>
          <w:bCs/>
          <w:i/>
          <w:kern w:val="36"/>
          <w:sz w:val="24"/>
        </w:rPr>
        <w:t>euro</w:t>
      </w:r>
      <w:r w:rsidRPr="009267FC">
        <w:rPr>
          <w:rFonts w:ascii="Times New Roman" w:eastAsiaTheme="minorHAnsi" w:hAnsi="Times New Roman"/>
          <w:bCs/>
          <w:kern w:val="36"/>
          <w:sz w:val="24"/>
        </w:rPr>
        <w:t>. Pētījuma autoru aprēķinā nominālajām naudas plūsmām līdz 2016. gadam piemērota diskonta likme 7,1%, no 2017. gada līdz 2020. gadam – 7% saskaņā ar Valsts reģionālās attīstības aģentūras vadlīnijām.</w:t>
      </w:r>
      <w:r w:rsidRPr="009267FC">
        <w:rPr>
          <w:rFonts w:ascii="Times New Roman" w:eastAsiaTheme="minorHAnsi" w:hAnsi="Times New Roman" w:cs="Times New Roman"/>
          <w:sz w:val="14"/>
          <w:szCs w:val="14"/>
        </w:rPr>
        <w:t xml:space="preserve"> </w:t>
      </w:r>
    </w:p>
    <w:p w14:paraId="6C480710" w14:textId="3612F522" w:rsidR="00BB3847" w:rsidRPr="0057255A" w:rsidRDefault="0057255A" w:rsidP="0020740D">
      <w:pPr>
        <w:autoSpaceDE w:val="0"/>
        <w:autoSpaceDN w:val="0"/>
        <w:adjustRightInd w:val="0"/>
        <w:spacing w:before="140" w:after="60" w:line="240" w:lineRule="auto"/>
        <w:jc w:val="right"/>
        <w:rPr>
          <w:rFonts w:ascii="Times New Roman" w:eastAsiaTheme="minorHAnsi" w:hAnsi="Times New Roman"/>
          <w:b/>
          <w:bCs/>
          <w:kern w:val="36"/>
          <w:sz w:val="24"/>
          <w:szCs w:val="24"/>
        </w:rPr>
      </w:pPr>
      <w:r w:rsidRPr="0057255A">
        <w:rPr>
          <w:rFonts w:ascii="Times New Roman" w:eastAsiaTheme="minorHAnsi" w:hAnsi="Times New Roman" w:cs="Times New Roman"/>
          <w:b/>
          <w:sz w:val="24"/>
          <w:szCs w:val="24"/>
        </w:rPr>
        <w:t>3.8.</w:t>
      </w:r>
      <w:r w:rsidR="00BB3847" w:rsidRPr="0057255A">
        <w:rPr>
          <w:rFonts w:ascii="Times New Roman" w:eastAsiaTheme="minorHAnsi" w:hAnsi="Times New Roman" w:cs="Times New Roman"/>
          <w:b/>
          <w:sz w:val="24"/>
          <w:szCs w:val="24"/>
        </w:rPr>
        <w:t>tabula. Kopējie un papildus izdevumi veselības aprūpē no 2013. līdz 2020. gadam</w:t>
      </w:r>
      <w:r w:rsidR="00BB3847" w:rsidRPr="0057255A">
        <w:rPr>
          <w:rFonts w:ascii="Times New Roman" w:eastAsiaTheme="minorHAnsi" w:hAnsi="Times New Roman"/>
          <w:b/>
          <w:bCs/>
          <w:kern w:val="36"/>
          <w:sz w:val="24"/>
          <w:szCs w:val="24"/>
          <w:vertAlign w:val="superscript"/>
        </w:rPr>
        <w:t xml:space="preserve"> </w:t>
      </w:r>
      <w:r w:rsidR="00BB3847" w:rsidRPr="0057255A">
        <w:rPr>
          <w:rFonts w:ascii="Times New Roman" w:eastAsiaTheme="minorHAnsi" w:hAnsi="Times New Roman"/>
          <w:b/>
          <w:bCs/>
          <w:kern w:val="36"/>
          <w:sz w:val="24"/>
          <w:szCs w:val="24"/>
          <w:vertAlign w:val="superscript"/>
        </w:rPr>
        <w:footnoteReference w:id="14"/>
      </w:r>
    </w:p>
    <w:tbl>
      <w:tblPr>
        <w:tblStyle w:val="GridTable6ColorfulAccent1"/>
        <w:tblW w:w="9053" w:type="dxa"/>
        <w:jc w:val="center"/>
        <w:tblLook w:val="04A0" w:firstRow="1" w:lastRow="0" w:firstColumn="1" w:lastColumn="0" w:noHBand="0" w:noVBand="1"/>
      </w:tblPr>
      <w:tblGrid>
        <w:gridCol w:w="3509"/>
        <w:gridCol w:w="616"/>
        <w:gridCol w:w="616"/>
        <w:gridCol w:w="616"/>
        <w:gridCol w:w="616"/>
        <w:gridCol w:w="616"/>
        <w:gridCol w:w="616"/>
        <w:gridCol w:w="616"/>
        <w:gridCol w:w="616"/>
        <w:gridCol w:w="616"/>
      </w:tblGrid>
      <w:tr w:rsidR="00BB3847" w:rsidRPr="00BB3847" w14:paraId="278EA559" w14:textId="77777777" w:rsidTr="00032492">
        <w:trPr>
          <w:cnfStyle w:val="100000000000" w:firstRow="1" w:lastRow="0" w:firstColumn="0" w:lastColumn="0" w:oddVBand="0" w:evenVBand="0" w:oddHBand="0"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9053" w:type="dxa"/>
            <w:gridSpan w:val="10"/>
            <w:noWrap/>
            <w:hideMark/>
          </w:tcPr>
          <w:p w14:paraId="33A3A21B" w14:textId="77777777" w:rsidR="00BB3847" w:rsidRPr="00D811E2" w:rsidRDefault="00BB3847" w:rsidP="00BB3847">
            <w:pPr>
              <w:jc w:val="cente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Papildus izdevumi veselības aprūpei līdz 2020.gadam, pesimistiskais variants, milj. </w:t>
            </w:r>
            <w:r w:rsidRPr="00D811E2">
              <w:rPr>
                <w:rFonts w:ascii="Times New Roman" w:eastAsia="Times New Roman" w:hAnsi="Times New Roman" w:cs="Times New Roman"/>
                <w:b w:val="0"/>
                <w:i/>
                <w:iCs/>
                <w:color w:val="000000"/>
                <w:sz w:val="20"/>
                <w:szCs w:val="20"/>
                <w:lang w:eastAsia="lv-LV"/>
              </w:rPr>
              <w:t>euro</w:t>
            </w:r>
          </w:p>
        </w:tc>
      </w:tr>
      <w:tr w:rsidR="00BB3847" w:rsidRPr="00BB3847" w14:paraId="023EE8B9" w14:textId="77777777" w:rsidTr="000324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09" w:type="dxa"/>
            <w:noWrap/>
            <w:hideMark/>
          </w:tcPr>
          <w:p w14:paraId="266A225F" w14:textId="77777777" w:rsidR="00BB3847" w:rsidRPr="00BB3847" w:rsidRDefault="00BB3847" w:rsidP="00BB3847">
            <w:pPr>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 </w:t>
            </w:r>
          </w:p>
        </w:tc>
        <w:tc>
          <w:tcPr>
            <w:tcW w:w="616" w:type="dxa"/>
            <w:noWrap/>
            <w:hideMark/>
          </w:tcPr>
          <w:p w14:paraId="50B56496" w14:textId="77777777" w:rsidR="00BB3847" w:rsidRPr="00D811E2" w:rsidRDefault="00BB3847" w:rsidP="00BB38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2020</w:t>
            </w:r>
          </w:p>
        </w:tc>
        <w:tc>
          <w:tcPr>
            <w:tcW w:w="616" w:type="dxa"/>
            <w:noWrap/>
            <w:hideMark/>
          </w:tcPr>
          <w:p w14:paraId="59E0B2AC" w14:textId="77777777" w:rsidR="00BB3847" w:rsidRPr="00D811E2" w:rsidRDefault="00BB3847" w:rsidP="00BB38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2019</w:t>
            </w:r>
          </w:p>
        </w:tc>
        <w:tc>
          <w:tcPr>
            <w:tcW w:w="616" w:type="dxa"/>
            <w:noWrap/>
            <w:hideMark/>
          </w:tcPr>
          <w:p w14:paraId="1C3344B5" w14:textId="77777777" w:rsidR="00BB3847" w:rsidRPr="00D811E2" w:rsidRDefault="00BB3847" w:rsidP="00BB38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2018</w:t>
            </w:r>
          </w:p>
        </w:tc>
        <w:tc>
          <w:tcPr>
            <w:tcW w:w="616" w:type="dxa"/>
            <w:noWrap/>
            <w:hideMark/>
          </w:tcPr>
          <w:p w14:paraId="75DF8D85" w14:textId="77777777" w:rsidR="00BB3847" w:rsidRPr="00D811E2" w:rsidRDefault="00BB3847" w:rsidP="00BB38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2017</w:t>
            </w:r>
          </w:p>
        </w:tc>
        <w:tc>
          <w:tcPr>
            <w:tcW w:w="616" w:type="dxa"/>
            <w:noWrap/>
            <w:hideMark/>
          </w:tcPr>
          <w:p w14:paraId="1C45293F" w14:textId="77777777" w:rsidR="00BB3847" w:rsidRPr="00D811E2" w:rsidRDefault="00BB3847" w:rsidP="00BB38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2016</w:t>
            </w:r>
          </w:p>
        </w:tc>
        <w:tc>
          <w:tcPr>
            <w:tcW w:w="616" w:type="dxa"/>
            <w:noWrap/>
            <w:hideMark/>
          </w:tcPr>
          <w:p w14:paraId="244C082A" w14:textId="77777777" w:rsidR="00BB3847" w:rsidRPr="00D811E2" w:rsidRDefault="00BB3847" w:rsidP="00BB38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2015</w:t>
            </w:r>
          </w:p>
        </w:tc>
        <w:tc>
          <w:tcPr>
            <w:tcW w:w="616" w:type="dxa"/>
            <w:noWrap/>
            <w:hideMark/>
          </w:tcPr>
          <w:p w14:paraId="13E20887" w14:textId="77777777" w:rsidR="00BB3847" w:rsidRPr="00D811E2" w:rsidRDefault="00BB3847" w:rsidP="00BB38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2014</w:t>
            </w:r>
          </w:p>
        </w:tc>
        <w:tc>
          <w:tcPr>
            <w:tcW w:w="616" w:type="dxa"/>
            <w:noWrap/>
            <w:hideMark/>
          </w:tcPr>
          <w:p w14:paraId="616DF1A4" w14:textId="77777777" w:rsidR="00BB3847" w:rsidRPr="00D811E2" w:rsidRDefault="00BB3847" w:rsidP="00BB38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2013</w:t>
            </w:r>
          </w:p>
        </w:tc>
        <w:tc>
          <w:tcPr>
            <w:tcW w:w="616" w:type="dxa"/>
            <w:noWrap/>
            <w:hideMark/>
          </w:tcPr>
          <w:p w14:paraId="51DC0F2C" w14:textId="77777777" w:rsidR="00BB3847" w:rsidRPr="00D811E2" w:rsidRDefault="00BB3847" w:rsidP="00BB38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2012</w:t>
            </w:r>
          </w:p>
        </w:tc>
      </w:tr>
      <w:tr w:rsidR="00BB3847" w:rsidRPr="00BB3847" w14:paraId="18C5BA43" w14:textId="77777777" w:rsidTr="00032492">
        <w:trPr>
          <w:trHeight w:val="525"/>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4272BD99"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VM budžets pamatfunkcijām (nominālvērtība),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46E07FDC"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1028</w:t>
            </w:r>
          </w:p>
        </w:tc>
        <w:tc>
          <w:tcPr>
            <w:tcW w:w="616" w:type="dxa"/>
            <w:noWrap/>
            <w:vAlign w:val="center"/>
            <w:hideMark/>
          </w:tcPr>
          <w:p w14:paraId="2D95ED45"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967</w:t>
            </w:r>
          </w:p>
        </w:tc>
        <w:tc>
          <w:tcPr>
            <w:tcW w:w="616" w:type="dxa"/>
            <w:noWrap/>
            <w:vAlign w:val="center"/>
            <w:hideMark/>
          </w:tcPr>
          <w:p w14:paraId="6BBC3B71"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910</w:t>
            </w:r>
          </w:p>
        </w:tc>
        <w:tc>
          <w:tcPr>
            <w:tcW w:w="616" w:type="dxa"/>
            <w:noWrap/>
            <w:vAlign w:val="center"/>
            <w:hideMark/>
          </w:tcPr>
          <w:p w14:paraId="2F4153EA"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857</w:t>
            </w:r>
          </w:p>
        </w:tc>
        <w:tc>
          <w:tcPr>
            <w:tcW w:w="616" w:type="dxa"/>
            <w:noWrap/>
            <w:vAlign w:val="center"/>
            <w:hideMark/>
          </w:tcPr>
          <w:p w14:paraId="783D0734"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806</w:t>
            </w:r>
          </w:p>
        </w:tc>
        <w:tc>
          <w:tcPr>
            <w:tcW w:w="616" w:type="dxa"/>
            <w:noWrap/>
            <w:vAlign w:val="center"/>
            <w:hideMark/>
          </w:tcPr>
          <w:p w14:paraId="584A55DE"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727</w:t>
            </w:r>
          </w:p>
        </w:tc>
        <w:tc>
          <w:tcPr>
            <w:tcW w:w="616" w:type="dxa"/>
            <w:noWrap/>
            <w:vAlign w:val="center"/>
            <w:hideMark/>
          </w:tcPr>
          <w:p w14:paraId="36CD08C8"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713</w:t>
            </w:r>
          </w:p>
        </w:tc>
        <w:tc>
          <w:tcPr>
            <w:tcW w:w="616" w:type="dxa"/>
            <w:noWrap/>
            <w:vAlign w:val="center"/>
            <w:hideMark/>
          </w:tcPr>
          <w:p w14:paraId="72D6A00B"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697</w:t>
            </w:r>
          </w:p>
        </w:tc>
        <w:tc>
          <w:tcPr>
            <w:tcW w:w="616" w:type="dxa"/>
            <w:noWrap/>
            <w:vAlign w:val="center"/>
            <w:hideMark/>
          </w:tcPr>
          <w:p w14:paraId="2EC6B976"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692</w:t>
            </w:r>
          </w:p>
        </w:tc>
      </w:tr>
      <w:tr w:rsidR="00BB3847" w:rsidRPr="00BB3847" w14:paraId="56FB76FE" w14:textId="77777777" w:rsidTr="00032492">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7487605F"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Papildus VM budžets pamatfunkcijām (nominālvērtība) pret 2012.gadu,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08891A05"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336</w:t>
            </w:r>
          </w:p>
        </w:tc>
        <w:tc>
          <w:tcPr>
            <w:tcW w:w="616" w:type="dxa"/>
            <w:noWrap/>
            <w:vAlign w:val="center"/>
            <w:hideMark/>
          </w:tcPr>
          <w:p w14:paraId="0EB7EEE3"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275</w:t>
            </w:r>
          </w:p>
        </w:tc>
        <w:tc>
          <w:tcPr>
            <w:tcW w:w="616" w:type="dxa"/>
            <w:noWrap/>
            <w:vAlign w:val="center"/>
            <w:hideMark/>
          </w:tcPr>
          <w:p w14:paraId="41542F5D"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218</w:t>
            </w:r>
          </w:p>
        </w:tc>
        <w:tc>
          <w:tcPr>
            <w:tcW w:w="616" w:type="dxa"/>
            <w:noWrap/>
            <w:vAlign w:val="center"/>
            <w:hideMark/>
          </w:tcPr>
          <w:p w14:paraId="55A9E5C4"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165</w:t>
            </w:r>
          </w:p>
        </w:tc>
        <w:tc>
          <w:tcPr>
            <w:tcW w:w="616" w:type="dxa"/>
            <w:noWrap/>
            <w:vAlign w:val="center"/>
            <w:hideMark/>
          </w:tcPr>
          <w:p w14:paraId="71E06804"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114</w:t>
            </w:r>
          </w:p>
        </w:tc>
        <w:tc>
          <w:tcPr>
            <w:tcW w:w="616" w:type="dxa"/>
            <w:noWrap/>
            <w:vAlign w:val="center"/>
            <w:hideMark/>
          </w:tcPr>
          <w:p w14:paraId="49035D29"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35</w:t>
            </w:r>
          </w:p>
        </w:tc>
        <w:tc>
          <w:tcPr>
            <w:tcW w:w="616" w:type="dxa"/>
            <w:noWrap/>
            <w:vAlign w:val="center"/>
            <w:hideMark/>
          </w:tcPr>
          <w:p w14:paraId="2119C38A"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21</w:t>
            </w:r>
          </w:p>
        </w:tc>
        <w:tc>
          <w:tcPr>
            <w:tcW w:w="616" w:type="dxa"/>
            <w:noWrap/>
            <w:vAlign w:val="center"/>
            <w:hideMark/>
          </w:tcPr>
          <w:p w14:paraId="746F5035"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5</w:t>
            </w:r>
          </w:p>
        </w:tc>
        <w:tc>
          <w:tcPr>
            <w:tcW w:w="616" w:type="dxa"/>
            <w:noWrap/>
            <w:vAlign w:val="center"/>
            <w:hideMark/>
          </w:tcPr>
          <w:p w14:paraId="6D65019B"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 </w:t>
            </w:r>
          </w:p>
        </w:tc>
      </w:tr>
      <w:tr w:rsidR="00BB3847" w:rsidRPr="00BB3847" w14:paraId="3D739FC7" w14:textId="77777777" w:rsidTr="00032492">
        <w:trPr>
          <w:trHeight w:val="585"/>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0810C678"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ERAF, ESF un ĀFP (ar CFLA finansējumu) finansējums (nominālvērtība),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069A950E"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38</w:t>
            </w:r>
          </w:p>
        </w:tc>
        <w:tc>
          <w:tcPr>
            <w:tcW w:w="616" w:type="dxa"/>
            <w:noWrap/>
            <w:vAlign w:val="center"/>
            <w:hideMark/>
          </w:tcPr>
          <w:p w14:paraId="7354FB0C"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38</w:t>
            </w:r>
          </w:p>
        </w:tc>
        <w:tc>
          <w:tcPr>
            <w:tcW w:w="616" w:type="dxa"/>
            <w:noWrap/>
            <w:vAlign w:val="center"/>
            <w:hideMark/>
          </w:tcPr>
          <w:p w14:paraId="1E2FE7B5"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38</w:t>
            </w:r>
          </w:p>
        </w:tc>
        <w:tc>
          <w:tcPr>
            <w:tcW w:w="616" w:type="dxa"/>
            <w:noWrap/>
            <w:vAlign w:val="center"/>
            <w:hideMark/>
          </w:tcPr>
          <w:p w14:paraId="2ED8D768"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38</w:t>
            </w:r>
          </w:p>
        </w:tc>
        <w:tc>
          <w:tcPr>
            <w:tcW w:w="616" w:type="dxa"/>
            <w:noWrap/>
            <w:vAlign w:val="center"/>
            <w:hideMark/>
          </w:tcPr>
          <w:p w14:paraId="4FCC83A7"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38</w:t>
            </w:r>
          </w:p>
        </w:tc>
        <w:tc>
          <w:tcPr>
            <w:tcW w:w="616" w:type="dxa"/>
            <w:noWrap/>
            <w:vAlign w:val="center"/>
            <w:hideMark/>
          </w:tcPr>
          <w:p w14:paraId="73E37375"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65</w:t>
            </w:r>
          </w:p>
        </w:tc>
        <w:tc>
          <w:tcPr>
            <w:tcW w:w="616" w:type="dxa"/>
            <w:noWrap/>
            <w:vAlign w:val="center"/>
            <w:hideMark/>
          </w:tcPr>
          <w:p w14:paraId="77D14EE1"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44</w:t>
            </w:r>
          </w:p>
        </w:tc>
        <w:tc>
          <w:tcPr>
            <w:tcW w:w="616" w:type="dxa"/>
            <w:noWrap/>
            <w:vAlign w:val="center"/>
            <w:hideMark/>
          </w:tcPr>
          <w:p w14:paraId="33CC05D9"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49</w:t>
            </w:r>
          </w:p>
        </w:tc>
        <w:tc>
          <w:tcPr>
            <w:tcW w:w="616" w:type="dxa"/>
            <w:noWrap/>
            <w:vAlign w:val="center"/>
            <w:hideMark/>
          </w:tcPr>
          <w:p w14:paraId="35093644"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54</w:t>
            </w:r>
          </w:p>
        </w:tc>
      </w:tr>
      <w:tr w:rsidR="00BB3847" w:rsidRPr="00BB3847" w14:paraId="5D914630" w14:textId="77777777" w:rsidTr="00032492">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17C55D4D"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Papildus ERAF, ESF un ĀFP (ar CFLA finansējumu) finansējums (nominālvērtība) pret 2012.gadu,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09991BCE"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-16</w:t>
            </w:r>
          </w:p>
        </w:tc>
        <w:tc>
          <w:tcPr>
            <w:tcW w:w="616" w:type="dxa"/>
            <w:noWrap/>
            <w:vAlign w:val="center"/>
            <w:hideMark/>
          </w:tcPr>
          <w:p w14:paraId="51CC7697"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-16</w:t>
            </w:r>
          </w:p>
        </w:tc>
        <w:tc>
          <w:tcPr>
            <w:tcW w:w="616" w:type="dxa"/>
            <w:noWrap/>
            <w:vAlign w:val="center"/>
            <w:hideMark/>
          </w:tcPr>
          <w:p w14:paraId="2BEE6702"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-16</w:t>
            </w:r>
          </w:p>
        </w:tc>
        <w:tc>
          <w:tcPr>
            <w:tcW w:w="616" w:type="dxa"/>
            <w:noWrap/>
            <w:vAlign w:val="center"/>
            <w:hideMark/>
          </w:tcPr>
          <w:p w14:paraId="73F27DA2"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-16</w:t>
            </w:r>
          </w:p>
        </w:tc>
        <w:tc>
          <w:tcPr>
            <w:tcW w:w="616" w:type="dxa"/>
            <w:noWrap/>
            <w:vAlign w:val="center"/>
            <w:hideMark/>
          </w:tcPr>
          <w:p w14:paraId="38CA9BC0"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-16</w:t>
            </w:r>
          </w:p>
        </w:tc>
        <w:tc>
          <w:tcPr>
            <w:tcW w:w="616" w:type="dxa"/>
            <w:noWrap/>
            <w:vAlign w:val="center"/>
            <w:hideMark/>
          </w:tcPr>
          <w:p w14:paraId="4FC5DDCE"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11</w:t>
            </w:r>
          </w:p>
        </w:tc>
        <w:tc>
          <w:tcPr>
            <w:tcW w:w="616" w:type="dxa"/>
            <w:noWrap/>
            <w:vAlign w:val="center"/>
            <w:hideMark/>
          </w:tcPr>
          <w:p w14:paraId="74DB057E"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-10</w:t>
            </w:r>
          </w:p>
        </w:tc>
        <w:tc>
          <w:tcPr>
            <w:tcW w:w="616" w:type="dxa"/>
            <w:noWrap/>
            <w:vAlign w:val="center"/>
            <w:hideMark/>
          </w:tcPr>
          <w:p w14:paraId="116EB4ED"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-5</w:t>
            </w:r>
          </w:p>
        </w:tc>
        <w:tc>
          <w:tcPr>
            <w:tcW w:w="616" w:type="dxa"/>
            <w:noWrap/>
            <w:vAlign w:val="center"/>
            <w:hideMark/>
          </w:tcPr>
          <w:p w14:paraId="5F1FAF34"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 </w:t>
            </w:r>
          </w:p>
        </w:tc>
      </w:tr>
      <w:tr w:rsidR="00BB3847" w:rsidRPr="00BB3847" w14:paraId="7E2FA0C2" w14:textId="77777777" w:rsidTr="00032492">
        <w:trPr>
          <w:trHeight w:val="765"/>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293E99A6"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Kopējais papildus finansējums (nominālvērtība) veselības aprūpei pret 2012.gadu,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61993298"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320</w:t>
            </w:r>
          </w:p>
        </w:tc>
        <w:tc>
          <w:tcPr>
            <w:tcW w:w="616" w:type="dxa"/>
            <w:noWrap/>
            <w:vAlign w:val="center"/>
            <w:hideMark/>
          </w:tcPr>
          <w:p w14:paraId="4D36E163"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259</w:t>
            </w:r>
          </w:p>
        </w:tc>
        <w:tc>
          <w:tcPr>
            <w:tcW w:w="616" w:type="dxa"/>
            <w:noWrap/>
            <w:vAlign w:val="center"/>
            <w:hideMark/>
          </w:tcPr>
          <w:p w14:paraId="4D716995"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202</w:t>
            </w:r>
          </w:p>
        </w:tc>
        <w:tc>
          <w:tcPr>
            <w:tcW w:w="616" w:type="dxa"/>
            <w:noWrap/>
            <w:vAlign w:val="center"/>
            <w:hideMark/>
          </w:tcPr>
          <w:p w14:paraId="12EC5212"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149</w:t>
            </w:r>
          </w:p>
        </w:tc>
        <w:tc>
          <w:tcPr>
            <w:tcW w:w="616" w:type="dxa"/>
            <w:noWrap/>
            <w:vAlign w:val="center"/>
            <w:hideMark/>
          </w:tcPr>
          <w:p w14:paraId="0F154752"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98</w:t>
            </w:r>
          </w:p>
        </w:tc>
        <w:tc>
          <w:tcPr>
            <w:tcW w:w="616" w:type="dxa"/>
            <w:noWrap/>
            <w:vAlign w:val="center"/>
            <w:hideMark/>
          </w:tcPr>
          <w:p w14:paraId="3E5DD2E8"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46</w:t>
            </w:r>
          </w:p>
        </w:tc>
        <w:tc>
          <w:tcPr>
            <w:tcW w:w="616" w:type="dxa"/>
            <w:noWrap/>
            <w:vAlign w:val="center"/>
            <w:hideMark/>
          </w:tcPr>
          <w:p w14:paraId="3070D803"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11</w:t>
            </w:r>
          </w:p>
        </w:tc>
        <w:tc>
          <w:tcPr>
            <w:tcW w:w="616" w:type="dxa"/>
            <w:noWrap/>
            <w:vAlign w:val="center"/>
            <w:hideMark/>
          </w:tcPr>
          <w:p w14:paraId="741BBABC"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0</w:t>
            </w:r>
          </w:p>
        </w:tc>
        <w:tc>
          <w:tcPr>
            <w:tcW w:w="616" w:type="dxa"/>
            <w:noWrap/>
            <w:vAlign w:val="center"/>
            <w:hideMark/>
          </w:tcPr>
          <w:p w14:paraId="66D7C1B8"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 </w:t>
            </w:r>
          </w:p>
        </w:tc>
      </w:tr>
      <w:tr w:rsidR="00BB3847" w:rsidRPr="00BB3847" w14:paraId="42EF3550" w14:textId="77777777" w:rsidTr="00032492">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0437286B"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Diskontētā papildus finansējuma 2014.gada tagadnes vērtība,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531640C0"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213</w:t>
            </w:r>
          </w:p>
        </w:tc>
        <w:tc>
          <w:tcPr>
            <w:tcW w:w="616" w:type="dxa"/>
            <w:noWrap/>
            <w:vAlign w:val="center"/>
            <w:hideMark/>
          </w:tcPr>
          <w:p w14:paraId="17BEE237"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185</w:t>
            </w:r>
          </w:p>
        </w:tc>
        <w:tc>
          <w:tcPr>
            <w:tcW w:w="616" w:type="dxa"/>
            <w:noWrap/>
            <w:vAlign w:val="center"/>
            <w:hideMark/>
          </w:tcPr>
          <w:p w14:paraId="10F91101"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154</w:t>
            </w:r>
          </w:p>
        </w:tc>
        <w:tc>
          <w:tcPr>
            <w:tcW w:w="616" w:type="dxa"/>
            <w:noWrap/>
            <w:vAlign w:val="center"/>
            <w:hideMark/>
          </w:tcPr>
          <w:p w14:paraId="3E0E0F9B"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122</w:t>
            </w:r>
          </w:p>
        </w:tc>
        <w:tc>
          <w:tcPr>
            <w:tcW w:w="616" w:type="dxa"/>
            <w:noWrap/>
            <w:vAlign w:val="center"/>
            <w:hideMark/>
          </w:tcPr>
          <w:p w14:paraId="3C7988A6"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85</w:t>
            </w:r>
          </w:p>
        </w:tc>
        <w:tc>
          <w:tcPr>
            <w:tcW w:w="616" w:type="dxa"/>
            <w:noWrap/>
            <w:vAlign w:val="center"/>
            <w:hideMark/>
          </w:tcPr>
          <w:p w14:paraId="1D7C0BE4"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43</w:t>
            </w:r>
          </w:p>
        </w:tc>
        <w:tc>
          <w:tcPr>
            <w:tcW w:w="616" w:type="dxa"/>
            <w:noWrap/>
            <w:vAlign w:val="center"/>
            <w:hideMark/>
          </w:tcPr>
          <w:p w14:paraId="3AE0FD86"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11</w:t>
            </w:r>
          </w:p>
        </w:tc>
        <w:tc>
          <w:tcPr>
            <w:tcW w:w="616" w:type="dxa"/>
            <w:noWrap/>
            <w:vAlign w:val="center"/>
            <w:hideMark/>
          </w:tcPr>
          <w:p w14:paraId="646AD365"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0</w:t>
            </w:r>
          </w:p>
        </w:tc>
        <w:tc>
          <w:tcPr>
            <w:tcW w:w="616" w:type="dxa"/>
            <w:noWrap/>
            <w:vAlign w:val="center"/>
            <w:hideMark/>
          </w:tcPr>
          <w:p w14:paraId="713CC219"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 </w:t>
            </w:r>
          </w:p>
        </w:tc>
      </w:tr>
      <w:tr w:rsidR="00BB3847" w:rsidRPr="00BB3847" w14:paraId="5A859B36" w14:textId="77777777" w:rsidTr="00032492">
        <w:trPr>
          <w:trHeight w:val="540"/>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6DDD1E31"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Diskontētā papildus finansējuma 2014.gada tagadnes vērtība, milj. </w:t>
            </w:r>
            <w:r w:rsidRPr="00D811E2">
              <w:rPr>
                <w:rFonts w:ascii="Times New Roman" w:eastAsia="Times New Roman" w:hAnsi="Times New Roman" w:cs="Times New Roman"/>
                <w:b w:val="0"/>
                <w:i/>
                <w:iCs/>
                <w:color w:val="000000"/>
                <w:sz w:val="20"/>
                <w:szCs w:val="20"/>
                <w:lang w:eastAsia="lv-LV"/>
              </w:rPr>
              <w:t xml:space="preserve">euro </w:t>
            </w:r>
            <w:r w:rsidRPr="00D811E2">
              <w:rPr>
                <w:rFonts w:ascii="Times New Roman" w:eastAsia="Times New Roman" w:hAnsi="Times New Roman" w:cs="Times New Roman"/>
                <w:b w:val="0"/>
                <w:color w:val="000000"/>
                <w:sz w:val="20"/>
                <w:szCs w:val="20"/>
                <w:lang w:eastAsia="lv-LV"/>
              </w:rPr>
              <w:t>kopā</w:t>
            </w:r>
          </w:p>
        </w:tc>
        <w:tc>
          <w:tcPr>
            <w:tcW w:w="5544" w:type="dxa"/>
            <w:gridSpan w:val="9"/>
            <w:noWrap/>
            <w:vAlign w:val="center"/>
            <w:hideMark/>
          </w:tcPr>
          <w:p w14:paraId="56DC3FBA" w14:textId="77777777" w:rsidR="00BB3847" w:rsidRPr="00BB3847" w:rsidRDefault="00BB3847" w:rsidP="00D811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813</w:t>
            </w:r>
          </w:p>
        </w:tc>
      </w:tr>
      <w:tr w:rsidR="00BB3847" w:rsidRPr="00BB3847" w14:paraId="68264210" w14:textId="77777777" w:rsidTr="00032492">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9053" w:type="dxa"/>
            <w:gridSpan w:val="10"/>
            <w:noWrap/>
            <w:hideMark/>
          </w:tcPr>
          <w:p w14:paraId="52A03BE3" w14:textId="77777777" w:rsidR="00BB3847" w:rsidRPr="00BB3847" w:rsidRDefault="00BB3847" w:rsidP="00BB3847">
            <w:pPr>
              <w:jc w:val="center"/>
              <w:rPr>
                <w:rFonts w:ascii="Times New Roman" w:eastAsia="Times New Roman" w:hAnsi="Times New Roman" w:cs="Times New Roman"/>
                <w:color w:val="000000"/>
                <w:sz w:val="20"/>
                <w:szCs w:val="20"/>
                <w:lang w:eastAsia="lv-LV"/>
              </w:rPr>
            </w:pPr>
          </w:p>
        </w:tc>
      </w:tr>
      <w:tr w:rsidR="00BB3847" w:rsidRPr="00BB3847" w14:paraId="78E9C983" w14:textId="77777777" w:rsidTr="00032492">
        <w:trPr>
          <w:trHeight w:val="219"/>
          <w:jc w:val="center"/>
        </w:trPr>
        <w:tc>
          <w:tcPr>
            <w:cnfStyle w:val="001000000000" w:firstRow="0" w:lastRow="0" w:firstColumn="1" w:lastColumn="0" w:oddVBand="0" w:evenVBand="0" w:oddHBand="0" w:evenHBand="0" w:firstRowFirstColumn="0" w:firstRowLastColumn="0" w:lastRowFirstColumn="0" w:lastRowLastColumn="0"/>
            <w:tcW w:w="9053" w:type="dxa"/>
            <w:gridSpan w:val="10"/>
            <w:noWrap/>
            <w:hideMark/>
          </w:tcPr>
          <w:p w14:paraId="1EC14E69" w14:textId="77777777" w:rsidR="00BB3847" w:rsidRPr="00D811E2" w:rsidRDefault="00BB3847" w:rsidP="00BB3847">
            <w:pPr>
              <w:jc w:val="cente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Papildus izdevumi veselības aprūpei vecuma grupai 0-64 līdz 2020.gadam, pesimistiskais variants, milj. </w:t>
            </w:r>
            <w:r w:rsidRPr="00D811E2">
              <w:rPr>
                <w:rFonts w:ascii="Times New Roman" w:eastAsia="Times New Roman" w:hAnsi="Times New Roman" w:cs="Times New Roman"/>
                <w:b w:val="0"/>
                <w:i/>
                <w:iCs/>
                <w:color w:val="000000"/>
                <w:sz w:val="20"/>
                <w:szCs w:val="20"/>
                <w:lang w:eastAsia="lv-LV"/>
              </w:rPr>
              <w:t>euro</w:t>
            </w:r>
          </w:p>
        </w:tc>
      </w:tr>
      <w:tr w:rsidR="00BB3847" w:rsidRPr="00BB3847" w14:paraId="0C22C7AD" w14:textId="77777777" w:rsidTr="000324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09" w:type="dxa"/>
            <w:noWrap/>
            <w:hideMark/>
          </w:tcPr>
          <w:p w14:paraId="3BE4AFB6" w14:textId="77777777" w:rsidR="00BB3847" w:rsidRPr="00BB3847" w:rsidRDefault="00BB3847" w:rsidP="00BB3847">
            <w:pPr>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 </w:t>
            </w:r>
          </w:p>
        </w:tc>
        <w:tc>
          <w:tcPr>
            <w:tcW w:w="616" w:type="dxa"/>
            <w:noWrap/>
            <w:hideMark/>
          </w:tcPr>
          <w:p w14:paraId="4F359C2D" w14:textId="77777777" w:rsidR="00BB3847" w:rsidRPr="00D811E2" w:rsidRDefault="00BB3847" w:rsidP="00BB38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2020</w:t>
            </w:r>
          </w:p>
        </w:tc>
        <w:tc>
          <w:tcPr>
            <w:tcW w:w="616" w:type="dxa"/>
            <w:noWrap/>
            <w:hideMark/>
          </w:tcPr>
          <w:p w14:paraId="56B559FD" w14:textId="77777777" w:rsidR="00BB3847" w:rsidRPr="00D811E2" w:rsidRDefault="00BB3847" w:rsidP="00BB38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2019</w:t>
            </w:r>
          </w:p>
        </w:tc>
        <w:tc>
          <w:tcPr>
            <w:tcW w:w="616" w:type="dxa"/>
            <w:noWrap/>
            <w:hideMark/>
          </w:tcPr>
          <w:p w14:paraId="064A317B" w14:textId="77777777" w:rsidR="00BB3847" w:rsidRPr="00D811E2" w:rsidRDefault="00BB3847" w:rsidP="00BB38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2018</w:t>
            </w:r>
          </w:p>
        </w:tc>
        <w:tc>
          <w:tcPr>
            <w:tcW w:w="616" w:type="dxa"/>
            <w:noWrap/>
            <w:hideMark/>
          </w:tcPr>
          <w:p w14:paraId="6758E4BE" w14:textId="77777777" w:rsidR="00BB3847" w:rsidRPr="00D811E2" w:rsidRDefault="00BB3847" w:rsidP="00BB38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2017</w:t>
            </w:r>
          </w:p>
        </w:tc>
        <w:tc>
          <w:tcPr>
            <w:tcW w:w="616" w:type="dxa"/>
            <w:noWrap/>
            <w:hideMark/>
          </w:tcPr>
          <w:p w14:paraId="584C3B8B" w14:textId="77777777" w:rsidR="00BB3847" w:rsidRPr="00D811E2" w:rsidRDefault="00BB3847" w:rsidP="00BB38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2016</w:t>
            </w:r>
          </w:p>
        </w:tc>
        <w:tc>
          <w:tcPr>
            <w:tcW w:w="616" w:type="dxa"/>
            <w:noWrap/>
            <w:hideMark/>
          </w:tcPr>
          <w:p w14:paraId="7F951A42" w14:textId="77777777" w:rsidR="00BB3847" w:rsidRPr="00D811E2" w:rsidRDefault="00BB3847" w:rsidP="00BB38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2015</w:t>
            </w:r>
          </w:p>
        </w:tc>
        <w:tc>
          <w:tcPr>
            <w:tcW w:w="616" w:type="dxa"/>
            <w:noWrap/>
            <w:hideMark/>
          </w:tcPr>
          <w:p w14:paraId="161D6338" w14:textId="77777777" w:rsidR="00BB3847" w:rsidRPr="00D811E2" w:rsidRDefault="00BB3847" w:rsidP="00BB38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2014</w:t>
            </w:r>
          </w:p>
        </w:tc>
        <w:tc>
          <w:tcPr>
            <w:tcW w:w="616" w:type="dxa"/>
            <w:noWrap/>
            <w:hideMark/>
          </w:tcPr>
          <w:p w14:paraId="00741DF6" w14:textId="77777777" w:rsidR="00BB3847" w:rsidRPr="00D811E2" w:rsidRDefault="00BB3847" w:rsidP="00BB38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2013</w:t>
            </w:r>
          </w:p>
        </w:tc>
        <w:tc>
          <w:tcPr>
            <w:tcW w:w="616" w:type="dxa"/>
            <w:noWrap/>
            <w:hideMark/>
          </w:tcPr>
          <w:p w14:paraId="01AE05D7" w14:textId="77777777" w:rsidR="00BB3847" w:rsidRPr="00D811E2" w:rsidRDefault="00BB3847" w:rsidP="00BB38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lv-LV"/>
              </w:rPr>
            </w:pPr>
            <w:r w:rsidRPr="00D811E2">
              <w:rPr>
                <w:rFonts w:ascii="Times New Roman" w:eastAsia="Times New Roman" w:hAnsi="Times New Roman" w:cs="Times New Roman"/>
                <w:b/>
                <w:color w:val="000000"/>
                <w:sz w:val="20"/>
                <w:szCs w:val="20"/>
                <w:lang w:eastAsia="lv-LV"/>
              </w:rPr>
              <w:t>2012</w:t>
            </w:r>
          </w:p>
        </w:tc>
      </w:tr>
      <w:tr w:rsidR="00BB3847" w:rsidRPr="00BB3847" w14:paraId="2F23FCA6" w14:textId="77777777" w:rsidTr="00032492">
        <w:trPr>
          <w:trHeight w:val="525"/>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2D52EA29"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VM budžets pamatfunkcijām (nominālvērtība),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60EDFBD5"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730</w:t>
            </w:r>
          </w:p>
        </w:tc>
        <w:tc>
          <w:tcPr>
            <w:tcW w:w="616" w:type="dxa"/>
            <w:noWrap/>
            <w:vAlign w:val="center"/>
            <w:hideMark/>
          </w:tcPr>
          <w:p w14:paraId="24E3126A"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687</w:t>
            </w:r>
          </w:p>
        </w:tc>
        <w:tc>
          <w:tcPr>
            <w:tcW w:w="616" w:type="dxa"/>
            <w:noWrap/>
            <w:vAlign w:val="center"/>
            <w:hideMark/>
          </w:tcPr>
          <w:p w14:paraId="364645E6"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646</w:t>
            </w:r>
          </w:p>
        </w:tc>
        <w:tc>
          <w:tcPr>
            <w:tcW w:w="616" w:type="dxa"/>
            <w:noWrap/>
            <w:vAlign w:val="center"/>
            <w:hideMark/>
          </w:tcPr>
          <w:p w14:paraId="40F456C8"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608</w:t>
            </w:r>
          </w:p>
        </w:tc>
        <w:tc>
          <w:tcPr>
            <w:tcW w:w="616" w:type="dxa"/>
            <w:noWrap/>
            <w:vAlign w:val="center"/>
            <w:hideMark/>
          </w:tcPr>
          <w:p w14:paraId="78B20268"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572</w:t>
            </w:r>
          </w:p>
        </w:tc>
        <w:tc>
          <w:tcPr>
            <w:tcW w:w="616" w:type="dxa"/>
            <w:noWrap/>
            <w:vAlign w:val="center"/>
            <w:hideMark/>
          </w:tcPr>
          <w:p w14:paraId="6013421F"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516</w:t>
            </w:r>
          </w:p>
        </w:tc>
        <w:tc>
          <w:tcPr>
            <w:tcW w:w="616" w:type="dxa"/>
            <w:noWrap/>
            <w:vAlign w:val="center"/>
            <w:hideMark/>
          </w:tcPr>
          <w:p w14:paraId="5DDC804B"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506</w:t>
            </w:r>
          </w:p>
        </w:tc>
        <w:tc>
          <w:tcPr>
            <w:tcW w:w="616" w:type="dxa"/>
            <w:noWrap/>
            <w:vAlign w:val="center"/>
            <w:hideMark/>
          </w:tcPr>
          <w:p w14:paraId="6F329FB3"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495</w:t>
            </w:r>
          </w:p>
        </w:tc>
        <w:tc>
          <w:tcPr>
            <w:tcW w:w="616" w:type="dxa"/>
            <w:noWrap/>
            <w:vAlign w:val="center"/>
            <w:hideMark/>
          </w:tcPr>
          <w:p w14:paraId="042589CC"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491</w:t>
            </w:r>
          </w:p>
        </w:tc>
      </w:tr>
      <w:tr w:rsidR="00BB3847" w:rsidRPr="00BB3847" w14:paraId="63208804" w14:textId="77777777" w:rsidTr="00032492">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12A04639"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Papildus VM budžets pamatfunkcijām (nominālvērtība) pret 2012.gadu,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29B2AAFC"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239</w:t>
            </w:r>
          </w:p>
        </w:tc>
        <w:tc>
          <w:tcPr>
            <w:tcW w:w="616" w:type="dxa"/>
            <w:noWrap/>
            <w:vAlign w:val="center"/>
            <w:hideMark/>
          </w:tcPr>
          <w:p w14:paraId="46565AD1"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195</w:t>
            </w:r>
          </w:p>
        </w:tc>
        <w:tc>
          <w:tcPr>
            <w:tcW w:w="616" w:type="dxa"/>
            <w:noWrap/>
            <w:vAlign w:val="center"/>
            <w:hideMark/>
          </w:tcPr>
          <w:p w14:paraId="79E6D286"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155</w:t>
            </w:r>
          </w:p>
        </w:tc>
        <w:tc>
          <w:tcPr>
            <w:tcW w:w="616" w:type="dxa"/>
            <w:noWrap/>
            <w:vAlign w:val="center"/>
            <w:hideMark/>
          </w:tcPr>
          <w:p w14:paraId="27274D47"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117</w:t>
            </w:r>
          </w:p>
        </w:tc>
        <w:tc>
          <w:tcPr>
            <w:tcW w:w="616" w:type="dxa"/>
            <w:noWrap/>
            <w:vAlign w:val="center"/>
            <w:hideMark/>
          </w:tcPr>
          <w:p w14:paraId="29CC542B"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81</w:t>
            </w:r>
          </w:p>
        </w:tc>
        <w:tc>
          <w:tcPr>
            <w:tcW w:w="616" w:type="dxa"/>
            <w:noWrap/>
            <w:vAlign w:val="center"/>
            <w:hideMark/>
          </w:tcPr>
          <w:p w14:paraId="1EC5B204"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25</w:t>
            </w:r>
          </w:p>
        </w:tc>
        <w:tc>
          <w:tcPr>
            <w:tcW w:w="616" w:type="dxa"/>
            <w:noWrap/>
            <w:vAlign w:val="center"/>
            <w:hideMark/>
          </w:tcPr>
          <w:p w14:paraId="214B065E"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15</w:t>
            </w:r>
          </w:p>
        </w:tc>
        <w:tc>
          <w:tcPr>
            <w:tcW w:w="616" w:type="dxa"/>
            <w:noWrap/>
            <w:vAlign w:val="center"/>
            <w:hideMark/>
          </w:tcPr>
          <w:p w14:paraId="563FFF7E"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4</w:t>
            </w:r>
          </w:p>
        </w:tc>
        <w:tc>
          <w:tcPr>
            <w:tcW w:w="616" w:type="dxa"/>
            <w:noWrap/>
            <w:vAlign w:val="center"/>
            <w:hideMark/>
          </w:tcPr>
          <w:p w14:paraId="70395937"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 </w:t>
            </w:r>
          </w:p>
        </w:tc>
      </w:tr>
      <w:tr w:rsidR="00BB3847" w:rsidRPr="00BB3847" w14:paraId="144F6343" w14:textId="77777777" w:rsidTr="00032492">
        <w:trPr>
          <w:trHeight w:val="570"/>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720EF72A"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ERAF, ESF un ĀFP (ar CFLA finansējumu) finansējums (nominālvērtība),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432CEDCF"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27</w:t>
            </w:r>
          </w:p>
        </w:tc>
        <w:tc>
          <w:tcPr>
            <w:tcW w:w="616" w:type="dxa"/>
            <w:noWrap/>
            <w:vAlign w:val="center"/>
            <w:hideMark/>
          </w:tcPr>
          <w:p w14:paraId="2DABF93D"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27</w:t>
            </w:r>
          </w:p>
        </w:tc>
        <w:tc>
          <w:tcPr>
            <w:tcW w:w="616" w:type="dxa"/>
            <w:noWrap/>
            <w:vAlign w:val="center"/>
            <w:hideMark/>
          </w:tcPr>
          <w:p w14:paraId="3985673C"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27</w:t>
            </w:r>
          </w:p>
        </w:tc>
        <w:tc>
          <w:tcPr>
            <w:tcW w:w="616" w:type="dxa"/>
            <w:noWrap/>
            <w:vAlign w:val="center"/>
            <w:hideMark/>
          </w:tcPr>
          <w:p w14:paraId="4DD64CFA"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27</w:t>
            </w:r>
          </w:p>
        </w:tc>
        <w:tc>
          <w:tcPr>
            <w:tcW w:w="616" w:type="dxa"/>
            <w:noWrap/>
            <w:vAlign w:val="center"/>
            <w:hideMark/>
          </w:tcPr>
          <w:p w14:paraId="3153E70A"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27</w:t>
            </w:r>
          </w:p>
        </w:tc>
        <w:tc>
          <w:tcPr>
            <w:tcW w:w="616" w:type="dxa"/>
            <w:noWrap/>
            <w:vAlign w:val="center"/>
            <w:hideMark/>
          </w:tcPr>
          <w:p w14:paraId="7AD34AC3"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46</w:t>
            </w:r>
          </w:p>
        </w:tc>
        <w:tc>
          <w:tcPr>
            <w:tcW w:w="616" w:type="dxa"/>
            <w:noWrap/>
            <w:vAlign w:val="center"/>
            <w:hideMark/>
          </w:tcPr>
          <w:p w14:paraId="16E81CC5"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31</w:t>
            </w:r>
          </w:p>
        </w:tc>
        <w:tc>
          <w:tcPr>
            <w:tcW w:w="616" w:type="dxa"/>
            <w:noWrap/>
            <w:vAlign w:val="center"/>
            <w:hideMark/>
          </w:tcPr>
          <w:p w14:paraId="61A463D7"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35</w:t>
            </w:r>
          </w:p>
        </w:tc>
        <w:tc>
          <w:tcPr>
            <w:tcW w:w="616" w:type="dxa"/>
            <w:noWrap/>
            <w:vAlign w:val="center"/>
            <w:hideMark/>
          </w:tcPr>
          <w:p w14:paraId="7A972ABC"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38</w:t>
            </w:r>
          </w:p>
        </w:tc>
      </w:tr>
      <w:tr w:rsidR="00BB3847" w:rsidRPr="00BB3847" w14:paraId="6FA17F44" w14:textId="77777777" w:rsidTr="00032492">
        <w:trPr>
          <w:cnfStyle w:val="000000100000" w:firstRow="0" w:lastRow="0" w:firstColumn="0" w:lastColumn="0" w:oddVBand="0" w:evenVBand="0" w:oddHBand="1" w:evenHBand="0" w:firstRowFirstColumn="0" w:firstRowLastColumn="0" w:lastRowFirstColumn="0" w:lastRowLastColumn="0"/>
          <w:trHeight w:val="840"/>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449FC9A5"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Papildus ERAF, ESF un ĀFP (ar CFLA finansējumu) finansējums (nominālvērtība) pret 2012.gadu,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4107A3A5"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-11</w:t>
            </w:r>
          </w:p>
        </w:tc>
        <w:tc>
          <w:tcPr>
            <w:tcW w:w="616" w:type="dxa"/>
            <w:noWrap/>
            <w:vAlign w:val="center"/>
            <w:hideMark/>
          </w:tcPr>
          <w:p w14:paraId="5D1DCF93"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-11</w:t>
            </w:r>
          </w:p>
        </w:tc>
        <w:tc>
          <w:tcPr>
            <w:tcW w:w="616" w:type="dxa"/>
            <w:noWrap/>
            <w:vAlign w:val="center"/>
            <w:hideMark/>
          </w:tcPr>
          <w:p w14:paraId="5BB1240D"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-11</w:t>
            </w:r>
          </w:p>
        </w:tc>
        <w:tc>
          <w:tcPr>
            <w:tcW w:w="616" w:type="dxa"/>
            <w:noWrap/>
            <w:vAlign w:val="center"/>
            <w:hideMark/>
          </w:tcPr>
          <w:p w14:paraId="35C0E4E9"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-11</w:t>
            </w:r>
          </w:p>
        </w:tc>
        <w:tc>
          <w:tcPr>
            <w:tcW w:w="616" w:type="dxa"/>
            <w:noWrap/>
            <w:vAlign w:val="center"/>
            <w:hideMark/>
          </w:tcPr>
          <w:p w14:paraId="441A7E7C"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-11</w:t>
            </w:r>
          </w:p>
        </w:tc>
        <w:tc>
          <w:tcPr>
            <w:tcW w:w="616" w:type="dxa"/>
            <w:noWrap/>
            <w:vAlign w:val="center"/>
            <w:hideMark/>
          </w:tcPr>
          <w:p w14:paraId="47732B98"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8</w:t>
            </w:r>
          </w:p>
        </w:tc>
        <w:tc>
          <w:tcPr>
            <w:tcW w:w="616" w:type="dxa"/>
            <w:noWrap/>
            <w:vAlign w:val="center"/>
            <w:hideMark/>
          </w:tcPr>
          <w:p w14:paraId="285C4A2D"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-7</w:t>
            </w:r>
          </w:p>
        </w:tc>
        <w:tc>
          <w:tcPr>
            <w:tcW w:w="616" w:type="dxa"/>
            <w:noWrap/>
            <w:vAlign w:val="center"/>
            <w:hideMark/>
          </w:tcPr>
          <w:p w14:paraId="77965FA9"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-4</w:t>
            </w:r>
          </w:p>
        </w:tc>
        <w:tc>
          <w:tcPr>
            <w:tcW w:w="616" w:type="dxa"/>
            <w:noWrap/>
            <w:vAlign w:val="center"/>
            <w:hideMark/>
          </w:tcPr>
          <w:p w14:paraId="5EE0C2E4"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 </w:t>
            </w:r>
          </w:p>
        </w:tc>
      </w:tr>
      <w:tr w:rsidR="00BB3847" w:rsidRPr="00BB3847" w14:paraId="303AA168" w14:textId="77777777" w:rsidTr="00032492">
        <w:trPr>
          <w:trHeight w:val="780"/>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219C36C3"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Kopējais papildus finansējums (nominālvērtība) veselības aprūpei pret 2012.gadu,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00ED8F6A"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227</w:t>
            </w:r>
          </w:p>
        </w:tc>
        <w:tc>
          <w:tcPr>
            <w:tcW w:w="616" w:type="dxa"/>
            <w:noWrap/>
            <w:vAlign w:val="center"/>
            <w:hideMark/>
          </w:tcPr>
          <w:p w14:paraId="34A38E4E"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184</w:t>
            </w:r>
          </w:p>
        </w:tc>
        <w:tc>
          <w:tcPr>
            <w:tcW w:w="616" w:type="dxa"/>
            <w:noWrap/>
            <w:vAlign w:val="center"/>
            <w:hideMark/>
          </w:tcPr>
          <w:p w14:paraId="0197140B"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143</w:t>
            </w:r>
          </w:p>
        </w:tc>
        <w:tc>
          <w:tcPr>
            <w:tcW w:w="616" w:type="dxa"/>
            <w:noWrap/>
            <w:vAlign w:val="center"/>
            <w:hideMark/>
          </w:tcPr>
          <w:p w14:paraId="1BE89079"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106</w:t>
            </w:r>
          </w:p>
        </w:tc>
        <w:tc>
          <w:tcPr>
            <w:tcW w:w="616" w:type="dxa"/>
            <w:noWrap/>
            <w:vAlign w:val="center"/>
            <w:hideMark/>
          </w:tcPr>
          <w:p w14:paraId="43FB4311"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70</w:t>
            </w:r>
          </w:p>
        </w:tc>
        <w:tc>
          <w:tcPr>
            <w:tcW w:w="616" w:type="dxa"/>
            <w:noWrap/>
            <w:vAlign w:val="center"/>
            <w:hideMark/>
          </w:tcPr>
          <w:p w14:paraId="1948CD5A"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33</w:t>
            </w:r>
          </w:p>
        </w:tc>
        <w:tc>
          <w:tcPr>
            <w:tcW w:w="616" w:type="dxa"/>
            <w:noWrap/>
            <w:vAlign w:val="center"/>
            <w:hideMark/>
          </w:tcPr>
          <w:p w14:paraId="18FAB7EF"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8</w:t>
            </w:r>
          </w:p>
        </w:tc>
        <w:tc>
          <w:tcPr>
            <w:tcW w:w="616" w:type="dxa"/>
            <w:noWrap/>
            <w:vAlign w:val="center"/>
            <w:hideMark/>
          </w:tcPr>
          <w:p w14:paraId="656F152D"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0</w:t>
            </w:r>
          </w:p>
        </w:tc>
        <w:tc>
          <w:tcPr>
            <w:tcW w:w="616" w:type="dxa"/>
            <w:noWrap/>
            <w:vAlign w:val="center"/>
            <w:hideMark/>
          </w:tcPr>
          <w:p w14:paraId="718C58E1" w14:textId="77777777" w:rsidR="00BB3847" w:rsidRPr="00BB3847" w:rsidRDefault="00BB3847" w:rsidP="00D811E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 </w:t>
            </w:r>
          </w:p>
        </w:tc>
      </w:tr>
      <w:tr w:rsidR="00BB3847" w:rsidRPr="00BB3847" w14:paraId="15F8BA62" w14:textId="77777777" w:rsidTr="00032492">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544EDB63"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Diskontētā papildus finansējuma 2014.gada tagadnes vērtība, milj. </w:t>
            </w:r>
            <w:r w:rsidRPr="00D811E2">
              <w:rPr>
                <w:rFonts w:ascii="Times New Roman" w:eastAsia="Times New Roman" w:hAnsi="Times New Roman" w:cs="Times New Roman"/>
                <w:b w:val="0"/>
                <w:i/>
                <w:iCs/>
                <w:color w:val="000000"/>
                <w:sz w:val="20"/>
                <w:szCs w:val="20"/>
                <w:lang w:eastAsia="lv-LV"/>
              </w:rPr>
              <w:t>euro</w:t>
            </w:r>
          </w:p>
        </w:tc>
        <w:tc>
          <w:tcPr>
            <w:tcW w:w="616" w:type="dxa"/>
            <w:noWrap/>
            <w:vAlign w:val="center"/>
            <w:hideMark/>
          </w:tcPr>
          <w:p w14:paraId="70433F2D"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121</w:t>
            </w:r>
          </w:p>
        </w:tc>
        <w:tc>
          <w:tcPr>
            <w:tcW w:w="616" w:type="dxa"/>
            <w:noWrap/>
            <w:vAlign w:val="center"/>
            <w:hideMark/>
          </w:tcPr>
          <w:p w14:paraId="5EDB95DC"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131</w:t>
            </w:r>
          </w:p>
        </w:tc>
        <w:tc>
          <w:tcPr>
            <w:tcW w:w="616" w:type="dxa"/>
            <w:noWrap/>
            <w:vAlign w:val="center"/>
            <w:hideMark/>
          </w:tcPr>
          <w:p w14:paraId="29110425"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109</w:t>
            </w:r>
          </w:p>
        </w:tc>
        <w:tc>
          <w:tcPr>
            <w:tcW w:w="616" w:type="dxa"/>
            <w:noWrap/>
            <w:vAlign w:val="center"/>
            <w:hideMark/>
          </w:tcPr>
          <w:p w14:paraId="0CD8D683"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86</w:t>
            </w:r>
          </w:p>
        </w:tc>
        <w:tc>
          <w:tcPr>
            <w:tcW w:w="616" w:type="dxa"/>
            <w:noWrap/>
            <w:vAlign w:val="center"/>
            <w:hideMark/>
          </w:tcPr>
          <w:p w14:paraId="75AA159C"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61</w:t>
            </w:r>
          </w:p>
        </w:tc>
        <w:tc>
          <w:tcPr>
            <w:tcW w:w="616" w:type="dxa"/>
            <w:noWrap/>
            <w:vAlign w:val="center"/>
            <w:hideMark/>
          </w:tcPr>
          <w:p w14:paraId="190C0074"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30</w:t>
            </w:r>
          </w:p>
        </w:tc>
        <w:tc>
          <w:tcPr>
            <w:tcW w:w="616" w:type="dxa"/>
            <w:noWrap/>
            <w:vAlign w:val="center"/>
            <w:hideMark/>
          </w:tcPr>
          <w:p w14:paraId="7C7A2280"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8</w:t>
            </w:r>
          </w:p>
        </w:tc>
        <w:tc>
          <w:tcPr>
            <w:tcW w:w="616" w:type="dxa"/>
            <w:noWrap/>
            <w:vAlign w:val="center"/>
            <w:hideMark/>
          </w:tcPr>
          <w:p w14:paraId="748A89D3"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0</w:t>
            </w:r>
          </w:p>
        </w:tc>
        <w:tc>
          <w:tcPr>
            <w:tcW w:w="616" w:type="dxa"/>
            <w:noWrap/>
            <w:vAlign w:val="center"/>
            <w:hideMark/>
          </w:tcPr>
          <w:p w14:paraId="01D65147" w14:textId="77777777" w:rsidR="00BB3847" w:rsidRPr="00BB3847" w:rsidRDefault="00BB3847" w:rsidP="00D811E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 </w:t>
            </w:r>
          </w:p>
        </w:tc>
      </w:tr>
      <w:tr w:rsidR="00BB3847" w:rsidRPr="00BB3847" w14:paraId="6E57167B" w14:textId="77777777" w:rsidTr="00032492">
        <w:trPr>
          <w:trHeight w:val="585"/>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0212EDD1"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 xml:space="preserve">Diskontētā papildus finansējuma 2014.gada tagadnes vērtība, milj. </w:t>
            </w:r>
            <w:r w:rsidRPr="00D811E2">
              <w:rPr>
                <w:rFonts w:ascii="Times New Roman" w:eastAsia="Times New Roman" w:hAnsi="Times New Roman" w:cs="Times New Roman"/>
                <w:b w:val="0"/>
                <w:i/>
                <w:iCs/>
                <w:color w:val="000000"/>
                <w:sz w:val="20"/>
                <w:szCs w:val="20"/>
                <w:lang w:eastAsia="lv-LV"/>
              </w:rPr>
              <w:t xml:space="preserve">euro </w:t>
            </w:r>
            <w:r w:rsidRPr="00D811E2">
              <w:rPr>
                <w:rFonts w:ascii="Times New Roman" w:eastAsia="Times New Roman" w:hAnsi="Times New Roman" w:cs="Times New Roman"/>
                <w:b w:val="0"/>
                <w:color w:val="000000"/>
                <w:sz w:val="20"/>
                <w:szCs w:val="20"/>
                <w:lang w:eastAsia="lv-LV"/>
              </w:rPr>
              <w:t>kopā</w:t>
            </w:r>
          </w:p>
        </w:tc>
        <w:tc>
          <w:tcPr>
            <w:tcW w:w="5544" w:type="dxa"/>
            <w:gridSpan w:val="9"/>
            <w:noWrap/>
            <w:vAlign w:val="center"/>
            <w:hideMark/>
          </w:tcPr>
          <w:p w14:paraId="2B3A157D" w14:textId="77777777" w:rsidR="00BB3847" w:rsidRPr="00BB3847" w:rsidRDefault="00BB3847" w:rsidP="00D811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577</w:t>
            </w:r>
          </w:p>
        </w:tc>
      </w:tr>
      <w:tr w:rsidR="00BB3847" w:rsidRPr="00BB3847" w14:paraId="1F12512F" w14:textId="77777777" w:rsidTr="00032492">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3509" w:type="dxa"/>
            <w:hideMark/>
          </w:tcPr>
          <w:p w14:paraId="1E0654C3" w14:textId="77777777" w:rsidR="00BB3847" w:rsidRPr="00D811E2" w:rsidRDefault="00BB3847" w:rsidP="00BB3847">
            <w:pPr>
              <w:rPr>
                <w:rFonts w:ascii="Times New Roman" w:eastAsia="Times New Roman" w:hAnsi="Times New Roman" w:cs="Times New Roman"/>
                <w:b w:val="0"/>
                <w:color w:val="000000"/>
                <w:sz w:val="20"/>
                <w:szCs w:val="20"/>
                <w:lang w:eastAsia="lv-LV"/>
              </w:rPr>
            </w:pPr>
            <w:r w:rsidRPr="00D811E2">
              <w:rPr>
                <w:rFonts w:ascii="Times New Roman" w:eastAsia="Times New Roman" w:hAnsi="Times New Roman" w:cs="Times New Roman"/>
                <w:b w:val="0"/>
                <w:color w:val="000000"/>
                <w:sz w:val="20"/>
                <w:szCs w:val="20"/>
                <w:lang w:eastAsia="lv-LV"/>
              </w:rPr>
              <w:t>Izdevumi (</w:t>
            </w:r>
            <w:r w:rsidRPr="00D811E2">
              <w:rPr>
                <w:rFonts w:ascii="Times New Roman" w:eastAsia="Times New Roman" w:hAnsi="Times New Roman" w:cs="Times New Roman"/>
                <w:b w:val="0"/>
                <w:i/>
                <w:iCs/>
                <w:color w:val="000000"/>
                <w:sz w:val="20"/>
                <w:szCs w:val="20"/>
                <w:lang w:eastAsia="lv-LV"/>
              </w:rPr>
              <w:t>euro</w:t>
            </w:r>
            <w:r w:rsidRPr="00D811E2">
              <w:rPr>
                <w:rFonts w:ascii="Times New Roman" w:eastAsia="Times New Roman" w:hAnsi="Times New Roman" w:cs="Times New Roman"/>
                <w:b w:val="0"/>
                <w:color w:val="000000"/>
                <w:sz w:val="20"/>
                <w:szCs w:val="20"/>
                <w:lang w:eastAsia="lv-LV"/>
              </w:rPr>
              <w:t>) par vienu novērsu PZDG</w:t>
            </w:r>
          </w:p>
        </w:tc>
        <w:tc>
          <w:tcPr>
            <w:tcW w:w="5544" w:type="dxa"/>
            <w:gridSpan w:val="9"/>
            <w:noWrap/>
            <w:vAlign w:val="center"/>
            <w:hideMark/>
          </w:tcPr>
          <w:p w14:paraId="73EE7BDA" w14:textId="77777777" w:rsidR="00BB3847" w:rsidRPr="00BB3847" w:rsidRDefault="00BB3847" w:rsidP="00D811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BB3847">
              <w:rPr>
                <w:rFonts w:ascii="Times New Roman" w:eastAsia="Times New Roman" w:hAnsi="Times New Roman" w:cs="Times New Roman"/>
                <w:color w:val="000000"/>
                <w:sz w:val="20"/>
                <w:szCs w:val="20"/>
                <w:lang w:eastAsia="lv-LV"/>
              </w:rPr>
              <w:t>30925</w:t>
            </w:r>
          </w:p>
        </w:tc>
      </w:tr>
    </w:tbl>
    <w:p w14:paraId="63A9DB34" w14:textId="0DD0B8D0" w:rsidR="009267FC" w:rsidRPr="009267FC" w:rsidRDefault="009267FC" w:rsidP="0057255A">
      <w:pPr>
        <w:autoSpaceDE w:val="0"/>
        <w:autoSpaceDN w:val="0"/>
        <w:adjustRightInd w:val="0"/>
        <w:spacing w:before="120" w:after="60" w:line="240" w:lineRule="auto"/>
        <w:ind w:firstLine="720"/>
        <w:jc w:val="both"/>
        <w:rPr>
          <w:rFonts w:ascii="Times New Roman" w:eastAsiaTheme="minorHAnsi" w:hAnsi="Times New Roman"/>
          <w:bCs/>
          <w:kern w:val="36"/>
          <w:sz w:val="24"/>
        </w:rPr>
      </w:pPr>
      <w:r w:rsidRPr="009267FC">
        <w:rPr>
          <w:rFonts w:ascii="Times New Roman" w:eastAsiaTheme="minorHAnsi" w:hAnsi="Times New Roman"/>
          <w:bCs/>
          <w:kern w:val="36"/>
          <w:sz w:val="24"/>
        </w:rPr>
        <w:t>Tomēr ņemot vērā, ka Pētījuma ekonomiskie ieguvumu i</w:t>
      </w:r>
      <w:r w:rsidR="00BB3847">
        <w:rPr>
          <w:rFonts w:ascii="Times New Roman" w:eastAsiaTheme="minorHAnsi" w:hAnsi="Times New Roman"/>
          <w:bCs/>
          <w:kern w:val="36"/>
          <w:sz w:val="24"/>
        </w:rPr>
        <w:t xml:space="preserve">r aplēsti iedzīvotājiem līdz 64 </w:t>
      </w:r>
      <w:r w:rsidRPr="009267FC">
        <w:rPr>
          <w:rFonts w:ascii="Times New Roman" w:eastAsiaTheme="minorHAnsi" w:hAnsi="Times New Roman"/>
          <w:bCs/>
          <w:kern w:val="36"/>
          <w:sz w:val="24"/>
        </w:rPr>
        <w:t>gadu vecumam, arī izmaksas ir nepieciešams aprēķināt šai vecuma grupai. Līdz ar to, Pētījumā, izmantojot Nacionālā veselības dienesta datus par izdevumu sa</w:t>
      </w:r>
      <w:r w:rsidR="00BB3847">
        <w:rPr>
          <w:rFonts w:ascii="Times New Roman" w:eastAsiaTheme="minorHAnsi" w:hAnsi="Times New Roman"/>
          <w:bCs/>
          <w:kern w:val="36"/>
          <w:sz w:val="24"/>
        </w:rPr>
        <w:t>dalījumu pa vecuma grupām 2011.</w:t>
      </w:r>
      <w:r w:rsidRPr="009267FC">
        <w:rPr>
          <w:rFonts w:ascii="Times New Roman" w:eastAsiaTheme="minorHAnsi" w:hAnsi="Times New Roman"/>
          <w:bCs/>
          <w:kern w:val="36"/>
          <w:sz w:val="24"/>
        </w:rPr>
        <w:t>gadā, ir aprēķināts, ka vecuma grupai līdz 64 gadiem paredzamais papildus izdevumu apmērs tagadn</w:t>
      </w:r>
      <w:r w:rsidR="00BB3847">
        <w:rPr>
          <w:rFonts w:ascii="Times New Roman" w:eastAsiaTheme="minorHAnsi" w:hAnsi="Times New Roman"/>
          <w:bCs/>
          <w:kern w:val="36"/>
          <w:sz w:val="24"/>
        </w:rPr>
        <w:t>es vērtībā laika posmā no 2013.</w:t>
      </w:r>
      <w:r w:rsidRPr="009267FC">
        <w:rPr>
          <w:rFonts w:ascii="Times New Roman" w:eastAsiaTheme="minorHAnsi" w:hAnsi="Times New Roman"/>
          <w:bCs/>
          <w:kern w:val="36"/>
          <w:sz w:val="24"/>
        </w:rPr>
        <w:t>gada līdz 2020.gadam ir paredzams 577 m</w:t>
      </w:r>
      <w:r w:rsidR="00BB3847">
        <w:rPr>
          <w:rFonts w:ascii="Times New Roman" w:eastAsiaTheme="minorHAnsi" w:hAnsi="Times New Roman"/>
          <w:bCs/>
          <w:kern w:val="36"/>
          <w:sz w:val="24"/>
        </w:rPr>
        <w:t>i</w:t>
      </w:r>
      <w:r w:rsidRPr="009267FC">
        <w:rPr>
          <w:rFonts w:ascii="Times New Roman" w:eastAsiaTheme="minorHAnsi" w:hAnsi="Times New Roman"/>
          <w:bCs/>
          <w:kern w:val="36"/>
          <w:sz w:val="24"/>
        </w:rPr>
        <w:t xml:space="preserve">lj. </w:t>
      </w:r>
      <w:r w:rsidRPr="00BB3847">
        <w:rPr>
          <w:rFonts w:ascii="Times New Roman" w:eastAsiaTheme="minorHAnsi" w:hAnsi="Times New Roman"/>
          <w:bCs/>
          <w:i/>
          <w:kern w:val="36"/>
          <w:sz w:val="24"/>
        </w:rPr>
        <w:t>euro</w:t>
      </w:r>
      <w:r w:rsidRPr="009267FC">
        <w:rPr>
          <w:rFonts w:ascii="Times New Roman" w:eastAsiaTheme="minorHAnsi" w:hAnsi="Times New Roman"/>
          <w:bCs/>
          <w:kern w:val="36"/>
          <w:sz w:val="24"/>
        </w:rPr>
        <w:t>.</w:t>
      </w:r>
      <w:r w:rsidRPr="009267FC">
        <w:rPr>
          <w:rFonts w:ascii="Times New Roman" w:eastAsiaTheme="minorHAnsi" w:hAnsi="Times New Roman"/>
          <w:bCs/>
          <w:kern w:val="36"/>
          <w:sz w:val="24"/>
          <w:vertAlign w:val="superscript"/>
        </w:rPr>
        <w:footnoteReference w:id="15"/>
      </w:r>
      <w:r w:rsidRPr="009267FC">
        <w:rPr>
          <w:rFonts w:ascii="Times New Roman" w:eastAsiaTheme="minorHAnsi" w:hAnsi="Times New Roman"/>
          <w:bCs/>
          <w:kern w:val="36"/>
          <w:sz w:val="24"/>
        </w:rPr>
        <w:t xml:space="preserve"> </w:t>
      </w:r>
    </w:p>
    <w:p w14:paraId="070D2EBE" w14:textId="634D6B7A" w:rsidR="00BB3847" w:rsidRDefault="009267FC" w:rsidP="007E26F6">
      <w:pPr>
        <w:autoSpaceDE w:val="0"/>
        <w:autoSpaceDN w:val="0"/>
        <w:adjustRightInd w:val="0"/>
        <w:spacing w:after="60" w:line="240" w:lineRule="auto"/>
        <w:ind w:firstLine="720"/>
        <w:jc w:val="both"/>
        <w:rPr>
          <w:rFonts w:ascii="Times New Roman" w:eastAsiaTheme="minorHAnsi" w:hAnsi="Times New Roman"/>
          <w:bCs/>
          <w:kern w:val="36"/>
          <w:sz w:val="24"/>
        </w:rPr>
      </w:pPr>
      <w:r w:rsidRPr="009267FC">
        <w:rPr>
          <w:rFonts w:ascii="Times New Roman" w:eastAsiaTheme="minorHAnsi" w:hAnsi="Times New Roman"/>
          <w:b/>
          <w:bCs/>
          <w:kern w:val="36"/>
          <w:sz w:val="24"/>
        </w:rPr>
        <w:t xml:space="preserve">Kopsavilkums. </w:t>
      </w:r>
      <w:r w:rsidRPr="009267FC">
        <w:rPr>
          <w:rFonts w:ascii="Times New Roman" w:eastAsiaTheme="minorHAnsi" w:hAnsi="Times New Roman" w:cs="Times New Roman"/>
          <w:sz w:val="24"/>
          <w:szCs w:val="24"/>
        </w:rPr>
        <w:t xml:space="preserve">Atbilstoši Pētījuma rezultātiem var secināt, ka papildus paredzamais izmaksu apmērs no 2013.gada līdz 2020.gadam (577 milj. </w:t>
      </w:r>
      <w:r w:rsidRPr="00BB3847">
        <w:rPr>
          <w:rFonts w:ascii="Times New Roman" w:eastAsiaTheme="minorHAnsi" w:hAnsi="Times New Roman" w:cs="Times New Roman"/>
          <w:i/>
          <w:sz w:val="24"/>
          <w:szCs w:val="24"/>
        </w:rPr>
        <w:t>euro</w:t>
      </w:r>
      <w:r w:rsidRPr="009267FC">
        <w:rPr>
          <w:rFonts w:ascii="Times New Roman" w:eastAsiaTheme="minorHAnsi" w:hAnsi="Times New Roman" w:cs="Times New Roman"/>
          <w:sz w:val="24"/>
          <w:szCs w:val="24"/>
        </w:rPr>
        <w:t>) pārsniedz ekonomiskos ieguvumus atbilstošajā laika periodā.</w:t>
      </w:r>
      <w:r w:rsidR="00BB3847">
        <w:rPr>
          <w:rFonts w:ascii="Times New Roman" w:eastAsia="Calibri" w:hAnsi="Times New Roman" w:cs="Times New Roman"/>
          <w:bCs/>
          <w:kern w:val="36"/>
          <w:sz w:val="20"/>
          <w:szCs w:val="20"/>
          <w:lang w:eastAsia="lv-LV"/>
        </w:rPr>
        <w:t xml:space="preserve"> </w:t>
      </w:r>
    </w:p>
    <w:p w14:paraId="1F0B60EC" w14:textId="34F21ED1" w:rsidR="009267FC" w:rsidRPr="003B4685" w:rsidRDefault="0057255A" w:rsidP="009944F6">
      <w:pPr>
        <w:autoSpaceDE w:val="0"/>
        <w:autoSpaceDN w:val="0"/>
        <w:adjustRightInd w:val="0"/>
        <w:spacing w:before="160" w:after="60" w:line="240" w:lineRule="auto"/>
        <w:jc w:val="right"/>
        <w:rPr>
          <w:rFonts w:ascii="Times New Roman" w:eastAsiaTheme="minorHAnsi" w:hAnsi="Times New Roman"/>
          <w:b/>
          <w:bCs/>
          <w:i/>
          <w:kern w:val="36"/>
          <w:sz w:val="24"/>
        </w:rPr>
      </w:pPr>
      <w:r>
        <w:rPr>
          <w:rFonts w:ascii="Times New Roman" w:eastAsiaTheme="minorHAnsi" w:hAnsi="Times New Roman"/>
          <w:b/>
          <w:bCs/>
          <w:kern w:val="36"/>
          <w:sz w:val="24"/>
        </w:rPr>
        <w:t>3.9.tabula.</w:t>
      </w:r>
      <w:r w:rsidR="009267FC" w:rsidRPr="00B51DE5">
        <w:rPr>
          <w:rFonts w:ascii="Times New Roman" w:eastAsiaTheme="minorHAnsi" w:hAnsi="Times New Roman"/>
          <w:b/>
          <w:bCs/>
          <w:kern w:val="36"/>
          <w:sz w:val="24"/>
        </w:rPr>
        <w:t xml:space="preserve"> Pētījuma ie</w:t>
      </w:r>
      <w:r w:rsidR="003B4685">
        <w:rPr>
          <w:rFonts w:ascii="Times New Roman" w:eastAsiaTheme="minorHAnsi" w:hAnsi="Times New Roman"/>
          <w:b/>
          <w:bCs/>
          <w:kern w:val="36"/>
          <w:sz w:val="24"/>
        </w:rPr>
        <w:t xml:space="preserve">guvumu un izmaksu kopsavilkums, milj. </w:t>
      </w:r>
      <w:r w:rsidR="003B4685">
        <w:rPr>
          <w:rFonts w:ascii="Times New Roman" w:eastAsiaTheme="minorHAnsi" w:hAnsi="Times New Roman"/>
          <w:b/>
          <w:bCs/>
          <w:i/>
          <w:kern w:val="36"/>
          <w:sz w:val="24"/>
        </w:rPr>
        <w:t>euro</w:t>
      </w:r>
    </w:p>
    <w:tbl>
      <w:tblPr>
        <w:tblStyle w:val="GridTable6ColorfulAccent1"/>
        <w:tblW w:w="9082" w:type="dxa"/>
        <w:jc w:val="center"/>
        <w:tblLayout w:type="fixed"/>
        <w:tblLook w:val="04A0" w:firstRow="1" w:lastRow="0" w:firstColumn="1" w:lastColumn="0" w:noHBand="0" w:noVBand="1"/>
      </w:tblPr>
      <w:tblGrid>
        <w:gridCol w:w="3969"/>
        <w:gridCol w:w="1701"/>
        <w:gridCol w:w="1701"/>
        <w:gridCol w:w="1711"/>
      </w:tblGrid>
      <w:tr w:rsidR="002C10FB" w:rsidRPr="002C10FB" w14:paraId="0B0E998C" w14:textId="77777777" w:rsidTr="008055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Merge w:val="restart"/>
          </w:tcPr>
          <w:p w14:paraId="1291EE37" w14:textId="77777777" w:rsidR="009267FC" w:rsidRPr="002C10FB" w:rsidRDefault="009267FC" w:rsidP="009267FC">
            <w:pPr>
              <w:autoSpaceDE w:val="0"/>
              <w:autoSpaceDN w:val="0"/>
              <w:adjustRightInd w:val="0"/>
              <w:jc w:val="center"/>
              <w:rPr>
                <w:rFonts w:ascii="Times New Roman" w:hAnsi="Times New Roman" w:cs="Times New Roman"/>
                <w:bCs w:val="0"/>
                <w:color w:val="auto"/>
                <w:kern w:val="36"/>
                <w:sz w:val="20"/>
                <w:szCs w:val="20"/>
              </w:rPr>
            </w:pPr>
            <w:r w:rsidRPr="002C10FB">
              <w:rPr>
                <w:rFonts w:ascii="Times New Roman" w:hAnsi="Times New Roman" w:cs="Times New Roman"/>
                <w:bCs w:val="0"/>
                <w:color w:val="auto"/>
                <w:kern w:val="36"/>
                <w:sz w:val="20"/>
                <w:szCs w:val="20"/>
              </w:rPr>
              <w:t>Rādītājs</w:t>
            </w:r>
          </w:p>
        </w:tc>
        <w:tc>
          <w:tcPr>
            <w:tcW w:w="3402" w:type="dxa"/>
            <w:gridSpan w:val="2"/>
          </w:tcPr>
          <w:p w14:paraId="036C7B77" w14:textId="77777777" w:rsidR="009267FC" w:rsidRPr="002C10FB" w:rsidRDefault="009267FC" w:rsidP="00926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kern w:val="36"/>
                <w:sz w:val="20"/>
                <w:szCs w:val="20"/>
              </w:rPr>
            </w:pPr>
            <w:r w:rsidRPr="002C10FB">
              <w:rPr>
                <w:rFonts w:ascii="Times New Roman" w:hAnsi="Times New Roman" w:cs="Times New Roman"/>
                <w:bCs w:val="0"/>
                <w:color w:val="auto"/>
                <w:kern w:val="36"/>
                <w:sz w:val="20"/>
                <w:szCs w:val="20"/>
              </w:rPr>
              <w:t>Ekonomiskais ieguvums</w:t>
            </w:r>
          </w:p>
        </w:tc>
        <w:tc>
          <w:tcPr>
            <w:tcW w:w="1711" w:type="dxa"/>
          </w:tcPr>
          <w:p w14:paraId="73C942A5" w14:textId="77777777" w:rsidR="009267FC" w:rsidRPr="002C10FB" w:rsidRDefault="009267FC" w:rsidP="009267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kern w:val="36"/>
                <w:sz w:val="20"/>
                <w:szCs w:val="20"/>
              </w:rPr>
            </w:pPr>
            <w:r w:rsidRPr="002C10FB">
              <w:rPr>
                <w:rFonts w:ascii="Times New Roman" w:hAnsi="Times New Roman" w:cs="Times New Roman"/>
                <w:bCs w:val="0"/>
                <w:color w:val="auto"/>
                <w:kern w:val="36"/>
                <w:sz w:val="20"/>
                <w:szCs w:val="20"/>
              </w:rPr>
              <w:t>Izmaksas</w:t>
            </w:r>
          </w:p>
        </w:tc>
      </w:tr>
      <w:tr w:rsidR="002C10FB" w:rsidRPr="002C10FB" w14:paraId="569B1F79" w14:textId="77777777" w:rsidTr="0080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Merge/>
          </w:tcPr>
          <w:p w14:paraId="4A254F06" w14:textId="77777777" w:rsidR="009267FC" w:rsidRPr="002C10FB" w:rsidRDefault="009267FC" w:rsidP="009267FC">
            <w:pPr>
              <w:autoSpaceDE w:val="0"/>
              <w:autoSpaceDN w:val="0"/>
              <w:adjustRightInd w:val="0"/>
              <w:jc w:val="both"/>
              <w:rPr>
                <w:rFonts w:ascii="Times New Roman" w:hAnsi="Times New Roman" w:cs="Times New Roman"/>
                <w:bCs w:val="0"/>
                <w:color w:val="auto"/>
                <w:kern w:val="36"/>
                <w:sz w:val="20"/>
                <w:szCs w:val="20"/>
              </w:rPr>
            </w:pPr>
          </w:p>
        </w:tc>
        <w:tc>
          <w:tcPr>
            <w:tcW w:w="1701" w:type="dxa"/>
          </w:tcPr>
          <w:p w14:paraId="145577BE" w14:textId="77777777" w:rsidR="009267FC" w:rsidRPr="002C10FB" w:rsidRDefault="009267FC" w:rsidP="00926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kern w:val="36"/>
                <w:sz w:val="20"/>
                <w:szCs w:val="20"/>
              </w:rPr>
            </w:pPr>
            <w:r w:rsidRPr="002C10FB">
              <w:rPr>
                <w:rFonts w:ascii="Times New Roman" w:hAnsi="Times New Roman" w:cs="Times New Roman"/>
                <w:bCs/>
                <w:color w:val="auto"/>
                <w:kern w:val="36"/>
                <w:sz w:val="20"/>
                <w:szCs w:val="20"/>
              </w:rPr>
              <w:t>2013.- 2020.gads</w:t>
            </w:r>
          </w:p>
        </w:tc>
        <w:tc>
          <w:tcPr>
            <w:tcW w:w="1701" w:type="dxa"/>
            <w:shd w:val="clear" w:color="auto" w:fill="FFFFFF" w:themeFill="background1"/>
          </w:tcPr>
          <w:p w14:paraId="2DDF7058" w14:textId="77777777" w:rsidR="009267FC" w:rsidRPr="002C10FB" w:rsidRDefault="009267FC" w:rsidP="00926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kern w:val="36"/>
                <w:sz w:val="20"/>
                <w:szCs w:val="20"/>
              </w:rPr>
            </w:pPr>
            <w:r w:rsidRPr="002C10FB">
              <w:rPr>
                <w:rFonts w:ascii="Times New Roman" w:hAnsi="Times New Roman" w:cs="Times New Roman"/>
                <w:bCs/>
                <w:color w:val="auto"/>
                <w:kern w:val="36"/>
                <w:sz w:val="20"/>
                <w:szCs w:val="20"/>
              </w:rPr>
              <w:t>2013. - 2040.gads</w:t>
            </w:r>
          </w:p>
        </w:tc>
        <w:tc>
          <w:tcPr>
            <w:tcW w:w="1711" w:type="dxa"/>
          </w:tcPr>
          <w:p w14:paraId="6FE59BE9" w14:textId="77777777" w:rsidR="009267FC" w:rsidRPr="002C10FB" w:rsidRDefault="009267FC" w:rsidP="00926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kern w:val="36"/>
                <w:sz w:val="20"/>
                <w:szCs w:val="20"/>
              </w:rPr>
            </w:pPr>
            <w:r w:rsidRPr="002C10FB">
              <w:rPr>
                <w:rFonts w:ascii="Times New Roman" w:hAnsi="Times New Roman" w:cs="Times New Roman"/>
                <w:bCs/>
                <w:color w:val="auto"/>
                <w:kern w:val="36"/>
                <w:sz w:val="20"/>
                <w:szCs w:val="20"/>
              </w:rPr>
              <w:t>2013.- 2020.gads</w:t>
            </w:r>
          </w:p>
        </w:tc>
      </w:tr>
      <w:tr w:rsidR="002C10FB" w:rsidRPr="002C10FB" w14:paraId="6E0EB733" w14:textId="77777777" w:rsidTr="008055B0">
        <w:trPr>
          <w:jc w:val="center"/>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1813391B" w14:textId="77777777" w:rsidR="009267FC" w:rsidRPr="002C10FB" w:rsidRDefault="009267FC" w:rsidP="009267FC">
            <w:pPr>
              <w:autoSpaceDE w:val="0"/>
              <w:autoSpaceDN w:val="0"/>
              <w:adjustRightInd w:val="0"/>
              <w:jc w:val="both"/>
              <w:rPr>
                <w:rFonts w:ascii="Times New Roman" w:hAnsi="Times New Roman" w:cs="Times New Roman"/>
                <w:b w:val="0"/>
                <w:bCs w:val="0"/>
                <w:color w:val="auto"/>
                <w:kern w:val="36"/>
                <w:sz w:val="20"/>
                <w:szCs w:val="20"/>
              </w:rPr>
            </w:pPr>
          </w:p>
        </w:tc>
        <w:tc>
          <w:tcPr>
            <w:tcW w:w="1701" w:type="dxa"/>
            <w:shd w:val="clear" w:color="auto" w:fill="DEEAF6" w:themeFill="accent1" w:themeFillTint="33"/>
          </w:tcPr>
          <w:p w14:paraId="3482739C" w14:textId="77777777" w:rsidR="009267FC" w:rsidRPr="002C10FB" w:rsidRDefault="009267FC" w:rsidP="00926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kern w:val="36"/>
                <w:sz w:val="20"/>
                <w:szCs w:val="20"/>
              </w:rPr>
            </w:pPr>
          </w:p>
        </w:tc>
        <w:tc>
          <w:tcPr>
            <w:tcW w:w="1701" w:type="dxa"/>
            <w:shd w:val="clear" w:color="auto" w:fill="FFFFFF" w:themeFill="background1"/>
          </w:tcPr>
          <w:p w14:paraId="0B9A075C" w14:textId="77777777" w:rsidR="009267FC" w:rsidRPr="002C10FB" w:rsidRDefault="009267FC" w:rsidP="00926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kern w:val="36"/>
                <w:sz w:val="20"/>
                <w:szCs w:val="20"/>
              </w:rPr>
            </w:pPr>
          </w:p>
        </w:tc>
        <w:tc>
          <w:tcPr>
            <w:tcW w:w="1711" w:type="dxa"/>
            <w:vMerge w:val="restart"/>
            <w:shd w:val="clear" w:color="auto" w:fill="DEEAF6" w:themeFill="accent1" w:themeFillTint="33"/>
            <w:vAlign w:val="center"/>
          </w:tcPr>
          <w:p w14:paraId="2F19062D" w14:textId="77777777" w:rsidR="009267FC" w:rsidRPr="002C10FB" w:rsidRDefault="009267FC" w:rsidP="00EC27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kern w:val="36"/>
                <w:sz w:val="20"/>
                <w:szCs w:val="20"/>
              </w:rPr>
            </w:pPr>
            <w:r w:rsidRPr="002C10FB">
              <w:rPr>
                <w:rFonts w:ascii="Times New Roman" w:hAnsi="Times New Roman" w:cs="Times New Roman"/>
                <w:bCs/>
                <w:color w:val="auto"/>
                <w:kern w:val="36"/>
                <w:sz w:val="20"/>
                <w:szCs w:val="20"/>
              </w:rPr>
              <w:t>577</w:t>
            </w:r>
          </w:p>
        </w:tc>
      </w:tr>
      <w:tr w:rsidR="002C10FB" w:rsidRPr="002C10FB" w14:paraId="75E90A8E" w14:textId="77777777" w:rsidTr="0080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45970AF9" w14:textId="50943E93" w:rsidR="009267FC" w:rsidRPr="002C10FB" w:rsidRDefault="009267FC" w:rsidP="009267FC">
            <w:pPr>
              <w:autoSpaceDE w:val="0"/>
              <w:autoSpaceDN w:val="0"/>
              <w:adjustRightInd w:val="0"/>
              <w:jc w:val="both"/>
              <w:rPr>
                <w:rFonts w:ascii="Times New Roman" w:hAnsi="Times New Roman" w:cs="Times New Roman"/>
                <w:b w:val="0"/>
                <w:bCs w:val="0"/>
                <w:color w:val="auto"/>
                <w:kern w:val="36"/>
                <w:sz w:val="20"/>
                <w:szCs w:val="20"/>
              </w:rPr>
            </w:pPr>
            <w:r w:rsidRPr="002C10FB">
              <w:rPr>
                <w:rFonts w:ascii="Times New Roman" w:hAnsi="Times New Roman" w:cs="Times New Roman"/>
                <w:b w:val="0"/>
                <w:bCs w:val="0"/>
                <w:color w:val="auto"/>
                <w:kern w:val="36"/>
                <w:sz w:val="20"/>
                <w:szCs w:val="20"/>
              </w:rPr>
              <w:t>NAP</w:t>
            </w:r>
            <w:r w:rsidR="00B51DE5" w:rsidRPr="002C10FB">
              <w:rPr>
                <w:rFonts w:ascii="Times New Roman" w:hAnsi="Times New Roman" w:cs="Times New Roman"/>
                <w:b w:val="0"/>
                <w:bCs w:val="0"/>
                <w:color w:val="auto"/>
                <w:kern w:val="36"/>
                <w:sz w:val="20"/>
                <w:szCs w:val="20"/>
              </w:rPr>
              <w:t xml:space="preserve"> </w:t>
            </w:r>
            <w:r w:rsidRPr="002C10FB">
              <w:rPr>
                <w:rFonts w:ascii="Times New Roman" w:hAnsi="Times New Roman" w:cs="Times New Roman"/>
                <w:b w:val="0"/>
                <w:bCs w:val="0"/>
                <w:color w:val="auto"/>
                <w:kern w:val="36"/>
                <w:sz w:val="20"/>
                <w:szCs w:val="20"/>
              </w:rPr>
              <w:t>2020 noteiktais PZDG r</w:t>
            </w:r>
            <w:r w:rsidR="00B51DE5" w:rsidRPr="002C10FB">
              <w:rPr>
                <w:rFonts w:ascii="Times New Roman" w:hAnsi="Times New Roman" w:cs="Times New Roman"/>
                <w:b w:val="0"/>
                <w:bCs w:val="0"/>
                <w:color w:val="auto"/>
                <w:kern w:val="36"/>
                <w:sz w:val="20"/>
                <w:szCs w:val="20"/>
              </w:rPr>
              <w:t>ādītāja samazinājums līdz 2020.</w:t>
            </w:r>
            <w:r w:rsidRPr="002C10FB">
              <w:rPr>
                <w:rFonts w:ascii="Times New Roman" w:hAnsi="Times New Roman" w:cs="Times New Roman"/>
                <w:b w:val="0"/>
                <w:bCs w:val="0"/>
                <w:color w:val="auto"/>
                <w:kern w:val="36"/>
                <w:sz w:val="20"/>
                <w:szCs w:val="20"/>
              </w:rPr>
              <w:t xml:space="preserve">gadam – </w:t>
            </w:r>
            <w:r w:rsidRPr="002C10FB">
              <w:rPr>
                <w:rFonts w:ascii="Times New Roman" w:hAnsi="Times New Roman" w:cs="Times New Roman"/>
                <w:b w:val="0"/>
                <w:bCs w:val="0"/>
                <w:color w:val="auto"/>
                <w:kern w:val="36"/>
                <w:sz w:val="20"/>
                <w:szCs w:val="20"/>
                <w:u w:val="single"/>
              </w:rPr>
              <w:t>pesimistiskais scenārijs</w:t>
            </w:r>
          </w:p>
        </w:tc>
        <w:tc>
          <w:tcPr>
            <w:tcW w:w="1701" w:type="dxa"/>
            <w:vAlign w:val="center"/>
          </w:tcPr>
          <w:p w14:paraId="4E8CDE94" w14:textId="77777777" w:rsidR="009267FC" w:rsidRPr="002C10FB" w:rsidRDefault="009267FC" w:rsidP="002C10F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kern w:val="36"/>
                <w:sz w:val="20"/>
                <w:szCs w:val="20"/>
              </w:rPr>
            </w:pPr>
            <w:r w:rsidRPr="002C10FB">
              <w:rPr>
                <w:rFonts w:ascii="Times New Roman" w:hAnsi="Times New Roman" w:cs="Times New Roman"/>
                <w:bCs/>
                <w:color w:val="auto"/>
                <w:kern w:val="36"/>
                <w:sz w:val="20"/>
                <w:szCs w:val="20"/>
              </w:rPr>
              <w:t>137,4</w:t>
            </w:r>
          </w:p>
        </w:tc>
        <w:tc>
          <w:tcPr>
            <w:tcW w:w="1701" w:type="dxa"/>
            <w:shd w:val="clear" w:color="auto" w:fill="FFFFFF" w:themeFill="background1"/>
            <w:vAlign w:val="center"/>
          </w:tcPr>
          <w:p w14:paraId="0D43B1BB" w14:textId="77777777" w:rsidR="009267FC" w:rsidRPr="002C10FB" w:rsidRDefault="009267FC" w:rsidP="002C10F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kern w:val="36"/>
                <w:sz w:val="20"/>
                <w:szCs w:val="20"/>
              </w:rPr>
            </w:pPr>
            <w:r w:rsidRPr="002C10FB">
              <w:rPr>
                <w:rFonts w:ascii="Times New Roman" w:hAnsi="Times New Roman" w:cs="Times New Roman"/>
                <w:bCs/>
                <w:color w:val="auto"/>
                <w:kern w:val="36"/>
                <w:sz w:val="20"/>
                <w:szCs w:val="20"/>
              </w:rPr>
              <w:t>443,8</w:t>
            </w:r>
          </w:p>
        </w:tc>
        <w:tc>
          <w:tcPr>
            <w:tcW w:w="1711" w:type="dxa"/>
            <w:vMerge/>
          </w:tcPr>
          <w:p w14:paraId="7905FDDD" w14:textId="77777777" w:rsidR="009267FC" w:rsidRPr="002C10FB" w:rsidRDefault="009267FC" w:rsidP="009267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kern w:val="36"/>
                <w:sz w:val="20"/>
                <w:szCs w:val="20"/>
              </w:rPr>
            </w:pPr>
          </w:p>
        </w:tc>
      </w:tr>
      <w:tr w:rsidR="002C10FB" w:rsidRPr="002C10FB" w14:paraId="173AB719" w14:textId="77777777" w:rsidTr="008055B0">
        <w:trPr>
          <w:jc w:val="center"/>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0846F2C9" w14:textId="579A2BEE" w:rsidR="009267FC" w:rsidRPr="002C10FB" w:rsidRDefault="009267FC" w:rsidP="009267FC">
            <w:pPr>
              <w:autoSpaceDE w:val="0"/>
              <w:autoSpaceDN w:val="0"/>
              <w:adjustRightInd w:val="0"/>
              <w:jc w:val="both"/>
              <w:rPr>
                <w:rFonts w:ascii="Times New Roman" w:hAnsi="Times New Roman" w:cs="Times New Roman"/>
                <w:b w:val="0"/>
                <w:bCs w:val="0"/>
                <w:color w:val="auto"/>
                <w:kern w:val="36"/>
                <w:sz w:val="20"/>
                <w:szCs w:val="20"/>
              </w:rPr>
            </w:pPr>
            <w:r w:rsidRPr="002C10FB">
              <w:rPr>
                <w:rFonts w:ascii="Times New Roman" w:hAnsi="Times New Roman" w:cs="Times New Roman"/>
                <w:b w:val="0"/>
                <w:bCs w:val="0"/>
                <w:color w:val="auto"/>
                <w:kern w:val="36"/>
                <w:sz w:val="20"/>
                <w:szCs w:val="20"/>
              </w:rPr>
              <w:t>NAP</w:t>
            </w:r>
            <w:r w:rsidR="00B51DE5" w:rsidRPr="002C10FB">
              <w:rPr>
                <w:rFonts w:ascii="Times New Roman" w:hAnsi="Times New Roman" w:cs="Times New Roman"/>
                <w:b w:val="0"/>
                <w:bCs w:val="0"/>
                <w:color w:val="auto"/>
                <w:kern w:val="36"/>
                <w:sz w:val="20"/>
                <w:szCs w:val="20"/>
              </w:rPr>
              <w:t xml:space="preserve"> </w:t>
            </w:r>
            <w:r w:rsidRPr="002C10FB">
              <w:rPr>
                <w:rFonts w:ascii="Times New Roman" w:hAnsi="Times New Roman" w:cs="Times New Roman"/>
                <w:b w:val="0"/>
                <w:bCs w:val="0"/>
                <w:color w:val="auto"/>
                <w:kern w:val="36"/>
                <w:sz w:val="20"/>
                <w:szCs w:val="20"/>
              </w:rPr>
              <w:t>2020 noteiktais PZDG r</w:t>
            </w:r>
            <w:r w:rsidR="00B51DE5" w:rsidRPr="002C10FB">
              <w:rPr>
                <w:rFonts w:ascii="Times New Roman" w:hAnsi="Times New Roman" w:cs="Times New Roman"/>
                <w:b w:val="0"/>
                <w:bCs w:val="0"/>
                <w:color w:val="auto"/>
                <w:kern w:val="36"/>
                <w:sz w:val="20"/>
                <w:szCs w:val="20"/>
              </w:rPr>
              <w:t>ādītāja samazinājums līdz 2020.</w:t>
            </w:r>
            <w:r w:rsidRPr="002C10FB">
              <w:rPr>
                <w:rFonts w:ascii="Times New Roman" w:hAnsi="Times New Roman" w:cs="Times New Roman"/>
                <w:b w:val="0"/>
                <w:bCs w:val="0"/>
                <w:color w:val="auto"/>
                <w:kern w:val="36"/>
                <w:sz w:val="20"/>
                <w:szCs w:val="20"/>
              </w:rPr>
              <w:t xml:space="preserve">gadam – </w:t>
            </w:r>
            <w:r w:rsidRPr="002C10FB">
              <w:rPr>
                <w:rFonts w:ascii="Times New Roman" w:hAnsi="Times New Roman" w:cs="Times New Roman"/>
                <w:b w:val="0"/>
                <w:bCs w:val="0"/>
                <w:color w:val="auto"/>
                <w:kern w:val="36"/>
                <w:sz w:val="20"/>
                <w:szCs w:val="20"/>
                <w:u w:val="single"/>
              </w:rPr>
              <w:t>reālistiski optimistiskais scenārijs</w:t>
            </w:r>
          </w:p>
        </w:tc>
        <w:tc>
          <w:tcPr>
            <w:tcW w:w="1701" w:type="dxa"/>
            <w:shd w:val="clear" w:color="auto" w:fill="DEEAF6" w:themeFill="accent1" w:themeFillTint="33"/>
            <w:vAlign w:val="center"/>
          </w:tcPr>
          <w:p w14:paraId="24DCAC9D" w14:textId="77777777" w:rsidR="009267FC" w:rsidRPr="002C10FB" w:rsidRDefault="009267FC" w:rsidP="002C10F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kern w:val="36"/>
                <w:sz w:val="20"/>
                <w:szCs w:val="20"/>
              </w:rPr>
            </w:pPr>
            <w:r w:rsidRPr="002C10FB">
              <w:rPr>
                <w:rFonts w:ascii="Times New Roman" w:hAnsi="Times New Roman" w:cs="Times New Roman"/>
                <w:bCs/>
                <w:color w:val="auto"/>
                <w:kern w:val="36"/>
                <w:sz w:val="20"/>
                <w:szCs w:val="20"/>
              </w:rPr>
              <w:t>254,9</w:t>
            </w:r>
          </w:p>
        </w:tc>
        <w:tc>
          <w:tcPr>
            <w:tcW w:w="1701" w:type="dxa"/>
            <w:shd w:val="clear" w:color="auto" w:fill="FFFFFF" w:themeFill="background1"/>
            <w:vAlign w:val="center"/>
          </w:tcPr>
          <w:p w14:paraId="40D6C13A" w14:textId="77777777" w:rsidR="009267FC" w:rsidRPr="002C10FB" w:rsidRDefault="009267FC" w:rsidP="002C10F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kern w:val="36"/>
                <w:sz w:val="20"/>
                <w:szCs w:val="20"/>
              </w:rPr>
            </w:pPr>
            <w:r w:rsidRPr="002C10FB">
              <w:rPr>
                <w:rFonts w:ascii="Times New Roman" w:hAnsi="Times New Roman" w:cs="Times New Roman"/>
                <w:bCs/>
                <w:color w:val="auto"/>
                <w:kern w:val="36"/>
                <w:sz w:val="20"/>
                <w:szCs w:val="20"/>
              </w:rPr>
              <w:t>823,5</w:t>
            </w:r>
          </w:p>
        </w:tc>
        <w:tc>
          <w:tcPr>
            <w:tcW w:w="1711" w:type="dxa"/>
            <w:vMerge/>
            <w:shd w:val="clear" w:color="auto" w:fill="DEEAF6" w:themeFill="accent1" w:themeFillTint="33"/>
          </w:tcPr>
          <w:p w14:paraId="09BF9EC6" w14:textId="77777777" w:rsidR="009267FC" w:rsidRPr="002C10FB" w:rsidRDefault="009267FC" w:rsidP="009267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kern w:val="36"/>
                <w:sz w:val="20"/>
                <w:szCs w:val="20"/>
              </w:rPr>
            </w:pPr>
          </w:p>
        </w:tc>
      </w:tr>
    </w:tbl>
    <w:p w14:paraId="6BBBA120" w14:textId="73330CF2" w:rsidR="009267FC" w:rsidRPr="009267FC" w:rsidRDefault="009267FC" w:rsidP="00B51DE5">
      <w:pPr>
        <w:autoSpaceDE w:val="0"/>
        <w:autoSpaceDN w:val="0"/>
        <w:adjustRightInd w:val="0"/>
        <w:spacing w:before="120" w:after="60" w:line="240" w:lineRule="auto"/>
        <w:ind w:firstLine="720"/>
        <w:jc w:val="both"/>
        <w:rPr>
          <w:rFonts w:ascii="Times New Roman" w:eastAsiaTheme="minorHAnsi" w:hAnsi="Times New Roman"/>
          <w:sz w:val="24"/>
        </w:rPr>
      </w:pPr>
      <w:r w:rsidRPr="009267FC">
        <w:rPr>
          <w:rFonts w:ascii="Times New Roman" w:eastAsiaTheme="minorHAnsi" w:hAnsi="Times New Roman" w:cs="Times New Roman"/>
          <w:sz w:val="24"/>
          <w:szCs w:val="24"/>
        </w:rPr>
        <w:t>Apskatot Pētījuma rezultātus attiecībā no veikto reformu izmaksu efektivitātes aspekt</w:t>
      </w:r>
      <w:r w:rsidR="00B51DE5">
        <w:rPr>
          <w:rFonts w:ascii="Times New Roman" w:eastAsiaTheme="minorHAnsi" w:hAnsi="Times New Roman" w:cs="Times New Roman"/>
          <w:sz w:val="24"/>
          <w:szCs w:val="24"/>
        </w:rPr>
        <w:t>a, tiek secināts, ka līdz 2020.</w:t>
      </w:r>
      <w:r w:rsidRPr="009267FC">
        <w:rPr>
          <w:rFonts w:ascii="Times New Roman" w:eastAsiaTheme="minorHAnsi" w:hAnsi="Times New Roman" w:cs="Times New Roman"/>
          <w:sz w:val="24"/>
          <w:szCs w:val="24"/>
        </w:rPr>
        <w:t xml:space="preserve">gadam pesimistiskā scenārija gadījumā tiks novērsti 10 059 PZDG, bet reālistiski optimistiskā scenārija gadījumā – 18 666 PZDG, tādējādi vidējās izmaksas par vienu novērstu PZDG šajā vecuma grupā ir attiecīgi 57 361 </w:t>
      </w:r>
      <w:r w:rsidR="00B51DE5">
        <w:rPr>
          <w:rFonts w:ascii="Times New Roman" w:eastAsiaTheme="minorHAnsi" w:hAnsi="Times New Roman" w:cs="Times New Roman"/>
          <w:i/>
          <w:sz w:val="24"/>
          <w:szCs w:val="24"/>
        </w:rPr>
        <w:t>euro</w:t>
      </w:r>
      <w:r w:rsidRPr="009267FC">
        <w:rPr>
          <w:rFonts w:ascii="Times New Roman" w:eastAsiaTheme="minorHAnsi" w:hAnsi="Times New Roman" w:cs="Times New Roman"/>
          <w:sz w:val="24"/>
          <w:szCs w:val="24"/>
        </w:rPr>
        <w:t xml:space="preserve"> pesimistiskā un 30 925 </w:t>
      </w:r>
      <w:r w:rsidR="00B51DE5">
        <w:rPr>
          <w:rFonts w:ascii="Times New Roman" w:eastAsiaTheme="minorHAnsi" w:hAnsi="Times New Roman" w:cs="Times New Roman"/>
          <w:i/>
          <w:sz w:val="24"/>
          <w:szCs w:val="24"/>
        </w:rPr>
        <w:t>euro</w:t>
      </w:r>
      <w:r w:rsidRPr="009267FC">
        <w:rPr>
          <w:rFonts w:ascii="Times New Roman" w:eastAsiaTheme="minorHAnsi" w:hAnsi="Times New Roman" w:cs="Times New Roman"/>
          <w:sz w:val="24"/>
          <w:szCs w:val="24"/>
        </w:rPr>
        <w:t xml:space="preserve"> reālistiski optimistiskā scenārija gadījumā. </w:t>
      </w:r>
      <w:r w:rsidRPr="009267FC">
        <w:rPr>
          <w:rFonts w:ascii="Times New Roman" w:eastAsiaTheme="minorHAnsi" w:hAnsi="Times New Roman"/>
          <w:sz w:val="24"/>
        </w:rPr>
        <w:t>Saskaņā ar Pasaules veselības organizācijas vadlīnijām par izmaksu efektīvām uzskatāmas tādas veselības aprūpes intervences, kuru izmaksas ir lēšamas starp 1-3</w:t>
      </w:r>
      <w:r w:rsidR="00B51DE5">
        <w:rPr>
          <w:rFonts w:ascii="Times New Roman" w:eastAsiaTheme="minorHAnsi" w:hAnsi="Times New Roman"/>
          <w:sz w:val="24"/>
        </w:rPr>
        <w:t>%</w:t>
      </w:r>
      <w:r w:rsidRPr="009267FC">
        <w:rPr>
          <w:rFonts w:ascii="Times New Roman" w:eastAsiaTheme="minorHAnsi" w:hAnsi="Times New Roman"/>
          <w:sz w:val="24"/>
        </w:rPr>
        <w:t xml:space="preserve"> IKP uz iedzīvotāju; I</w:t>
      </w:r>
      <w:r w:rsidR="00B51DE5">
        <w:rPr>
          <w:rFonts w:ascii="Times New Roman" w:eastAsiaTheme="minorHAnsi" w:hAnsi="Times New Roman"/>
          <w:sz w:val="24"/>
        </w:rPr>
        <w:t>KP izpilde 2014.</w:t>
      </w:r>
      <w:r w:rsidRPr="009267FC">
        <w:rPr>
          <w:rFonts w:ascii="Times New Roman" w:eastAsiaTheme="minorHAnsi" w:hAnsi="Times New Roman"/>
          <w:sz w:val="24"/>
        </w:rPr>
        <w:t xml:space="preserve">gadam ir novērtēta 24 058 miljardu </w:t>
      </w:r>
      <w:r w:rsidRPr="00B51DE5">
        <w:rPr>
          <w:rFonts w:ascii="Times New Roman" w:eastAsiaTheme="minorHAnsi" w:hAnsi="Times New Roman"/>
          <w:i/>
          <w:sz w:val="24"/>
        </w:rPr>
        <w:t>euro</w:t>
      </w:r>
      <w:r w:rsidRPr="009267FC">
        <w:rPr>
          <w:rFonts w:ascii="Times New Roman" w:eastAsiaTheme="minorHAnsi" w:hAnsi="Times New Roman"/>
          <w:sz w:val="24"/>
        </w:rPr>
        <w:t xml:space="preserve"> a</w:t>
      </w:r>
      <w:r w:rsidR="00B51DE5">
        <w:rPr>
          <w:rFonts w:ascii="Times New Roman" w:eastAsiaTheme="minorHAnsi" w:hAnsi="Times New Roman"/>
          <w:sz w:val="24"/>
        </w:rPr>
        <w:t>pjomā, kas, attiecinot uz 2011.</w:t>
      </w:r>
      <w:r w:rsidRPr="009267FC">
        <w:rPr>
          <w:rFonts w:ascii="Times New Roman" w:eastAsiaTheme="minorHAnsi" w:hAnsi="Times New Roman"/>
          <w:sz w:val="24"/>
        </w:rPr>
        <w:t xml:space="preserve">gada tautas skaitīšanas iedzīvotāju skaitu, veidotu 11 620 </w:t>
      </w:r>
      <w:r w:rsidRPr="00B51DE5">
        <w:rPr>
          <w:rFonts w:ascii="Times New Roman" w:eastAsiaTheme="minorHAnsi" w:hAnsi="Times New Roman"/>
          <w:i/>
          <w:sz w:val="24"/>
        </w:rPr>
        <w:t>euro</w:t>
      </w:r>
      <w:r w:rsidRPr="009267FC">
        <w:rPr>
          <w:rFonts w:ascii="Times New Roman" w:eastAsiaTheme="minorHAnsi" w:hAnsi="Times New Roman"/>
          <w:sz w:val="24"/>
        </w:rPr>
        <w:t xml:space="preserve"> uz vienu iedzīvotāju, tādējādi 3</w:t>
      </w:r>
      <w:r w:rsidR="00B51DE5">
        <w:rPr>
          <w:rFonts w:ascii="Times New Roman" w:eastAsiaTheme="minorHAnsi" w:hAnsi="Times New Roman"/>
          <w:sz w:val="24"/>
        </w:rPr>
        <w:t>% no</w:t>
      </w:r>
      <w:r w:rsidRPr="009267FC">
        <w:rPr>
          <w:rFonts w:ascii="Times New Roman" w:eastAsiaTheme="minorHAnsi" w:hAnsi="Times New Roman"/>
          <w:sz w:val="24"/>
        </w:rPr>
        <w:t xml:space="preserve"> IKP uz iedzīvotāju sasniedzot 34 860 </w:t>
      </w:r>
      <w:r w:rsidRPr="00B51DE5">
        <w:rPr>
          <w:rFonts w:ascii="Times New Roman" w:eastAsiaTheme="minorHAnsi" w:hAnsi="Times New Roman"/>
          <w:i/>
          <w:sz w:val="24"/>
        </w:rPr>
        <w:t>euro</w:t>
      </w:r>
      <w:r w:rsidRPr="009267FC">
        <w:rPr>
          <w:rFonts w:ascii="Times New Roman" w:eastAsiaTheme="minorHAnsi" w:hAnsi="Times New Roman"/>
          <w:sz w:val="24"/>
        </w:rPr>
        <w:t>.</w:t>
      </w:r>
    </w:p>
    <w:p w14:paraId="4D393E1D" w14:textId="4DF5E197" w:rsidR="009267FC" w:rsidRPr="009267FC" w:rsidRDefault="009267FC" w:rsidP="00B51DE5">
      <w:pPr>
        <w:autoSpaceDE w:val="0"/>
        <w:autoSpaceDN w:val="0"/>
        <w:adjustRightInd w:val="0"/>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 xml:space="preserve">Līdz ar to arī pēc Pasaules veselības organizācijas vadlīnijām </w:t>
      </w:r>
      <w:r w:rsidR="00EC27F9" w:rsidRPr="009267FC">
        <w:rPr>
          <w:rFonts w:ascii="Times New Roman" w:eastAsiaTheme="minorHAnsi" w:hAnsi="Times New Roman" w:cs="Times New Roman"/>
          <w:sz w:val="24"/>
          <w:szCs w:val="24"/>
        </w:rPr>
        <w:t>reālistiski</w:t>
      </w:r>
      <w:r w:rsidRPr="009267FC">
        <w:rPr>
          <w:rFonts w:ascii="Times New Roman" w:eastAsiaTheme="minorHAnsi" w:hAnsi="Times New Roman" w:cs="Times New Roman"/>
          <w:sz w:val="24"/>
          <w:szCs w:val="24"/>
        </w:rPr>
        <w:t xml:space="preserve"> optimistiskā scenārija gadījumā Latvijas veselības sistēmas reforma ir vērtējama kā </w:t>
      </w:r>
      <w:r w:rsidRPr="009267FC">
        <w:rPr>
          <w:rFonts w:ascii="Times New Roman" w:eastAsiaTheme="minorHAnsi" w:hAnsi="Times New Roman" w:cs="Times New Roman"/>
          <w:b/>
          <w:sz w:val="24"/>
          <w:szCs w:val="24"/>
        </w:rPr>
        <w:t>izmaksu efektīva</w:t>
      </w:r>
      <w:r w:rsidRPr="009267FC">
        <w:rPr>
          <w:rFonts w:ascii="Times New Roman" w:eastAsiaTheme="minorHAnsi" w:hAnsi="Times New Roman" w:cs="Times New Roman"/>
          <w:sz w:val="24"/>
          <w:szCs w:val="24"/>
        </w:rPr>
        <w:t>.</w:t>
      </w:r>
    </w:p>
    <w:p w14:paraId="25052678" w14:textId="3F86EC70" w:rsidR="009267FC" w:rsidRPr="009267FC" w:rsidRDefault="009267FC" w:rsidP="00B51DE5">
      <w:pPr>
        <w:autoSpaceDE w:val="0"/>
        <w:autoSpaceDN w:val="0"/>
        <w:adjustRightInd w:val="0"/>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Jāatzīmē, ka ir augsta varbūtība, ka pie plānoto resursu investīciju līmeņa PZDG samazinājums notiks atbilstoši reālistiski optimistiskajam scenārijam. Pētījumā tika analizēta arī ekonomisk</w:t>
      </w:r>
      <w:r w:rsidR="00B51DE5">
        <w:rPr>
          <w:rFonts w:ascii="Times New Roman" w:eastAsiaTheme="minorHAnsi" w:hAnsi="Times New Roman" w:cs="Times New Roman"/>
          <w:sz w:val="24"/>
          <w:szCs w:val="24"/>
        </w:rPr>
        <w:t>ais ieguvums no cita rādītāja -</w:t>
      </w:r>
      <w:r w:rsidRPr="009267FC">
        <w:rPr>
          <w:rFonts w:ascii="Times New Roman" w:eastAsiaTheme="minorHAnsi" w:hAnsi="Times New Roman" w:cs="Times New Roman"/>
          <w:sz w:val="24"/>
          <w:szCs w:val="24"/>
        </w:rPr>
        <w:t xml:space="preserve"> Darbības programmas „Izaugsme un nodarbinātība” ieviešanas rezultātā prognozētā priekšlaicīgas mirstības (līdz 64 g</w:t>
      </w:r>
      <w:r w:rsidR="00B51DE5">
        <w:rPr>
          <w:rFonts w:ascii="Times New Roman" w:eastAsiaTheme="minorHAnsi" w:hAnsi="Times New Roman" w:cs="Times New Roman"/>
          <w:sz w:val="24"/>
          <w:szCs w:val="24"/>
        </w:rPr>
        <w:t xml:space="preserve">adu vecumam) samazinājums, kur </w:t>
      </w:r>
      <w:r w:rsidRPr="009267FC">
        <w:rPr>
          <w:rFonts w:ascii="Times New Roman" w:eastAsiaTheme="minorHAnsi" w:hAnsi="Times New Roman" w:cs="Times New Roman"/>
          <w:sz w:val="24"/>
          <w:szCs w:val="24"/>
        </w:rPr>
        <w:t>nāves cēloņi ir sirds un asinsrites slimības, onkoloģija</w:t>
      </w:r>
      <w:r w:rsidR="00B51DE5">
        <w:rPr>
          <w:rFonts w:ascii="Times New Roman" w:eastAsiaTheme="minorHAnsi" w:hAnsi="Times New Roman" w:cs="Times New Roman"/>
          <w:sz w:val="24"/>
          <w:szCs w:val="24"/>
        </w:rPr>
        <w:t>s</w:t>
      </w:r>
      <w:r w:rsidRPr="009267FC">
        <w:rPr>
          <w:rFonts w:ascii="Times New Roman" w:eastAsiaTheme="minorHAnsi" w:hAnsi="Times New Roman" w:cs="Times New Roman"/>
          <w:sz w:val="24"/>
          <w:szCs w:val="24"/>
        </w:rPr>
        <w:t xml:space="preserve"> slimības un pašnāvības. Kopumā sagaidāmais līdz 2020.gadam novērsto nāves gadījumu skaits vecumgrupā līdz 64 gadiem saskaņā ar pesimistisko scenāriju, kas atbilst NAP</w:t>
      </w:r>
      <w:r w:rsidR="00B51DE5">
        <w:rPr>
          <w:rFonts w:ascii="Times New Roman" w:eastAsiaTheme="minorHAnsi" w:hAnsi="Times New Roman" w:cs="Times New Roman"/>
          <w:sz w:val="24"/>
          <w:szCs w:val="24"/>
        </w:rPr>
        <w:t xml:space="preserve"> 2020</w:t>
      </w:r>
      <w:r w:rsidRPr="009267FC">
        <w:rPr>
          <w:rFonts w:ascii="Times New Roman" w:eastAsiaTheme="minorHAnsi" w:hAnsi="Times New Roman" w:cs="Times New Roman"/>
          <w:sz w:val="24"/>
          <w:szCs w:val="24"/>
        </w:rPr>
        <w:t xml:space="preserve"> definētajam PZDG samazinājuma mērķim, ir tikai par 9% lielāks par sagaidāmo novērsto letālo iznākumu skaitu gadījumā, ja tiks izpildīts priekšlaicīgas mirstības rādītāja trīs prioritāro cēloņu dēļ samazināšanas mērķis, kas ir definēts Darbības programmā „Izaugsme un nodarbinātība”. 2012.gadā no trim analizējamajiem cēloņiem dotajā iedzīvotāju vecumgrupā mirušo īpatsvars sas</w:t>
      </w:r>
      <w:r w:rsidR="00B51DE5">
        <w:rPr>
          <w:rFonts w:ascii="Times New Roman" w:eastAsiaTheme="minorHAnsi" w:hAnsi="Times New Roman" w:cs="Times New Roman"/>
          <w:sz w:val="24"/>
          <w:szCs w:val="24"/>
        </w:rPr>
        <w:t>tādīja 64% no visiem mirušajiem</w:t>
      </w:r>
      <w:r w:rsidRPr="009267FC">
        <w:rPr>
          <w:rFonts w:ascii="Times New Roman" w:eastAsiaTheme="minorHAnsi" w:hAnsi="Times New Roman" w:cs="Times New Roman"/>
          <w:sz w:val="24"/>
          <w:szCs w:val="24"/>
        </w:rPr>
        <w:t>. Pārējie 35% pienākas uz citām cēloņu grupām, un var sagaidīt, ka mirstības līmenis no tiem tāpat pazemināsies. Līdz ar to</w:t>
      </w:r>
      <w:r w:rsidR="00B51DE5">
        <w:rPr>
          <w:rFonts w:ascii="Times New Roman" w:eastAsiaTheme="minorHAnsi" w:hAnsi="Times New Roman" w:cs="Times New Roman"/>
          <w:sz w:val="24"/>
          <w:szCs w:val="24"/>
        </w:rPr>
        <w:t>,</w:t>
      </w:r>
      <w:r w:rsidRPr="009267FC">
        <w:rPr>
          <w:rFonts w:ascii="Times New Roman" w:eastAsiaTheme="minorHAnsi" w:hAnsi="Times New Roman" w:cs="Times New Roman"/>
          <w:sz w:val="24"/>
          <w:szCs w:val="24"/>
        </w:rPr>
        <w:t xml:space="preserve"> ja Darbības programmā „Izaugsme un nodarbinātība” iekļautais mērķis tiks veiksmīgi izpildīts, var sagaidīt straujāku PZDG samazinājumu nekā ir paredzēts saskaņā ar NAP</w:t>
      </w:r>
      <w:r w:rsidR="00B51DE5">
        <w:rPr>
          <w:rFonts w:ascii="Times New Roman" w:eastAsiaTheme="minorHAnsi" w:hAnsi="Times New Roman" w:cs="Times New Roman"/>
          <w:sz w:val="24"/>
          <w:szCs w:val="24"/>
        </w:rPr>
        <w:t xml:space="preserve"> 2020 izvirzīto mērķi.</w:t>
      </w:r>
    </w:p>
    <w:p w14:paraId="51A1A11C" w14:textId="77777777" w:rsidR="009267FC" w:rsidRPr="009267FC" w:rsidRDefault="009267FC" w:rsidP="00B51DE5">
      <w:pPr>
        <w:autoSpaceDE w:val="0"/>
        <w:autoSpaceDN w:val="0"/>
        <w:adjustRightInd w:val="0"/>
        <w:spacing w:after="60" w:line="240" w:lineRule="auto"/>
        <w:ind w:firstLine="720"/>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Novērtētais IKP pieaugums ir tikai daļa no taustāmās ekonomiskās atdeves, kas tiks iegūta iedzīvotāju veselības veicināšanas rezultātā, faktiski ietekme uz IKP būs ievērojami lielāka, kaut arī to kvantitatīvi novērtēt ir sarežģīti:</w:t>
      </w:r>
    </w:p>
    <w:p w14:paraId="40AE8F01" w14:textId="77777777" w:rsidR="009267FC" w:rsidRPr="008920E5" w:rsidRDefault="009267FC" w:rsidP="008920E5">
      <w:pPr>
        <w:pStyle w:val="ListParagraph"/>
        <w:numPr>
          <w:ilvl w:val="0"/>
          <w:numId w:val="29"/>
        </w:numPr>
        <w:autoSpaceDE w:val="0"/>
        <w:autoSpaceDN w:val="0"/>
        <w:adjustRightInd w:val="0"/>
        <w:spacing w:after="0" w:line="240" w:lineRule="auto"/>
        <w:ind w:left="1276"/>
        <w:jc w:val="both"/>
        <w:rPr>
          <w:rFonts w:ascii="Times New Roman" w:eastAsiaTheme="minorHAnsi" w:hAnsi="Times New Roman" w:cs="Times New Roman"/>
          <w:sz w:val="24"/>
          <w:szCs w:val="24"/>
        </w:rPr>
      </w:pPr>
      <w:r w:rsidRPr="008920E5">
        <w:rPr>
          <w:rFonts w:ascii="Times New Roman" w:eastAsiaTheme="minorHAnsi" w:hAnsi="Times New Roman" w:cs="Times New Roman"/>
          <w:sz w:val="24"/>
          <w:szCs w:val="24"/>
        </w:rPr>
        <w:t>Papildus IKP pieaugumu sekmējošie faktori:</w:t>
      </w:r>
    </w:p>
    <w:p w14:paraId="03B0FF6B" w14:textId="3D7DCA89" w:rsidR="009267FC" w:rsidRPr="00595A9A" w:rsidRDefault="009267FC" w:rsidP="008920E5">
      <w:pPr>
        <w:numPr>
          <w:ilvl w:val="0"/>
          <w:numId w:val="31"/>
        </w:numPr>
        <w:autoSpaceDE w:val="0"/>
        <w:autoSpaceDN w:val="0"/>
        <w:adjustRightInd w:val="0"/>
        <w:spacing w:after="0" w:line="240" w:lineRule="auto"/>
        <w:ind w:left="1701"/>
        <w:contextualSpacing/>
        <w:jc w:val="both"/>
        <w:rPr>
          <w:rFonts w:ascii="Times New Roman,Bold" w:eastAsiaTheme="minorHAnsi" w:hAnsi="Times New Roman,Bold" w:cs="Times New Roman,Bold"/>
          <w:b/>
          <w:bCs/>
          <w:sz w:val="24"/>
          <w:szCs w:val="24"/>
        </w:rPr>
      </w:pPr>
      <w:r w:rsidRPr="008920E5">
        <w:rPr>
          <w:rFonts w:ascii="Times New Roman" w:eastAsiaTheme="minorHAnsi" w:hAnsi="Times New Roman" w:cs="Times New Roman"/>
          <w:sz w:val="24"/>
          <w:szCs w:val="24"/>
        </w:rPr>
        <w:t xml:space="preserve">Jāatzīmē, ka pētījumā veiktais ekonomiskā ieguvuma novērtējums tika veikts par sagaidāmā darbaspēka pieaugumu periodā no 2012.gada līdz 2020.gadam. Taču pozitīvais efekts no investīcijām iedzīvotāju veselībā būs lielāks pateicoties tam, ka arī pēc 2020.gada PZDG rādītāji būs zemāki par 2012.gadu. Pat tad, ja 2020.gadā PZDG rādītāja līmenis vairs nepazemināsies, pateicoties līdz 2020.gadam veiktajām investīcijām </w:t>
      </w:r>
      <w:r w:rsidRPr="008920E5">
        <w:rPr>
          <w:rFonts w:ascii="Times New Roman" w:eastAsiaTheme="minorHAnsi" w:hAnsi="Times New Roman" w:cs="Times New Roman"/>
          <w:b/>
          <w:sz w:val="24"/>
          <w:szCs w:val="24"/>
        </w:rPr>
        <w:t>arī turpmākajos gados tiks "papildus" novērsti priekšlaicīgas nāves gadījumi</w:t>
      </w:r>
      <w:r w:rsidRPr="008920E5">
        <w:rPr>
          <w:rFonts w:ascii="Times New Roman" w:eastAsiaTheme="minorHAnsi" w:hAnsi="Times New Roman" w:cs="Times New Roman"/>
          <w:sz w:val="24"/>
          <w:szCs w:val="24"/>
        </w:rPr>
        <w:t xml:space="preserve"> un tātad izglābtas "papildus" cilvēku dzīvības (salīdzinājumā ar 2012.gadu). Tas arī turpmāk pozitīvi ietekmēs darbaspēka piedāvājumu, veicinot ekonomikas izaugsmi</w:t>
      </w:r>
      <w:r w:rsidR="00B51DE5">
        <w:rPr>
          <w:rFonts w:ascii="Times New Roman" w:eastAsiaTheme="minorHAnsi" w:hAnsi="Times New Roman" w:cs="Times New Roman"/>
          <w:sz w:val="24"/>
          <w:szCs w:val="24"/>
        </w:rPr>
        <w:t>.</w:t>
      </w:r>
    </w:p>
    <w:p w14:paraId="38436E7C" w14:textId="77777777" w:rsidR="009267FC" w:rsidRPr="008920E5" w:rsidRDefault="009267FC" w:rsidP="008920E5">
      <w:pPr>
        <w:numPr>
          <w:ilvl w:val="0"/>
          <w:numId w:val="31"/>
        </w:numPr>
        <w:autoSpaceDE w:val="0"/>
        <w:autoSpaceDN w:val="0"/>
        <w:adjustRightInd w:val="0"/>
        <w:spacing w:after="0" w:line="240" w:lineRule="auto"/>
        <w:ind w:left="1701"/>
        <w:contextualSpacing/>
        <w:jc w:val="both"/>
        <w:rPr>
          <w:rFonts w:ascii="Times New Roman" w:eastAsiaTheme="minorHAnsi" w:hAnsi="Times New Roman" w:cs="Times New Roman"/>
          <w:sz w:val="24"/>
          <w:szCs w:val="24"/>
        </w:rPr>
      </w:pPr>
      <w:r w:rsidRPr="008920E5">
        <w:rPr>
          <w:rFonts w:ascii="Times New Roman" w:eastAsiaTheme="minorHAnsi" w:hAnsi="Times New Roman" w:cs="Times New Roman"/>
          <w:sz w:val="24"/>
          <w:szCs w:val="24"/>
        </w:rPr>
        <w:t xml:space="preserve">Iedzīvotāju vispārējam veselības līmenim uzlabojoties, ne tikai samazinās mirstības rādītāji, kas tiešā veidā ietekmē darbaspēka piedāvājumu. Kļūstot retākām un īsākām slimības lapām, paaugstināsies strādājošo </w:t>
      </w:r>
      <w:r w:rsidRPr="008920E5">
        <w:rPr>
          <w:rFonts w:ascii="Times New Roman" w:eastAsiaTheme="minorHAnsi" w:hAnsi="Times New Roman" w:cs="Times New Roman"/>
          <w:b/>
          <w:sz w:val="24"/>
          <w:szCs w:val="24"/>
        </w:rPr>
        <w:t>produktivitāte</w:t>
      </w:r>
      <w:r w:rsidRPr="008920E5">
        <w:rPr>
          <w:rFonts w:ascii="Times New Roman" w:eastAsiaTheme="minorHAnsi" w:hAnsi="Times New Roman" w:cs="Times New Roman"/>
          <w:sz w:val="24"/>
          <w:szCs w:val="24"/>
        </w:rPr>
        <w:t xml:space="preserve"> un līdz ar to palielināsies IKP.</w:t>
      </w:r>
    </w:p>
    <w:p w14:paraId="6E8DE94B" w14:textId="1DCFC3D6" w:rsidR="009267FC" w:rsidRPr="008920E5" w:rsidRDefault="009267FC" w:rsidP="008920E5">
      <w:pPr>
        <w:numPr>
          <w:ilvl w:val="0"/>
          <w:numId w:val="31"/>
        </w:numPr>
        <w:autoSpaceDE w:val="0"/>
        <w:autoSpaceDN w:val="0"/>
        <w:adjustRightInd w:val="0"/>
        <w:spacing w:after="0" w:line="240" w:lineRule="auto"/>
        <w:ind w:left="1701"/>
        <w:contextualSpacing/>
        <w:jc w:val="both"/>
        <w:rPr>
          <w:rFonts w:ascii="Times New Roman" w:eastAsiaTheme="minorHAnsi" w:hAnsi="Times New Roman" w:cs="Times New Roman"/>
          <w:sz w:val="24"/>
          <w:szCs w:val="24"/>
        </w:rPr>
      </w:pPr>
      <w:r w:rsidRPr="008920E5">
        <w:rPr>
          <w:rFonts w:ascii="Times New Roman" w:eastAsiaTheme="minorHAnsi" w:hAnsi="Times New Roman" w:cs="Times New Roman"/>
          <w:sz w:val="24"/>
          <w:szCs w:val="24"/>
        </w:rPr>
        <w:t>Iedzīvotāju vispārējam veselības līmenim uzlabojoties</w:t>
      </w:r>
      <w:r w:rsidR="00B51DE5">
        <w:rPr>
          <w:rFonts w:ascii="Times New Roman" w:eastAsiaTheme="minorHAnsi" w:hAnsi="Times New Roman" w:cs="Times New Roman"/>
          <w:sz w:val="24"/>
          <w:szCs w:val="24"/>
        </w:rPr>
        <w:t>,</w:t>
      </w:r>
      <w:r w:rsidRPr="008920E5">
        <w:rPr>
          <w:rFonts w:ascii="Times New Roman" w:eastAsiaTheme="minorHAnsi" w:hAnsi="Times New Roman" w:cs="Times New Roman"/>
          <w:sz w:val="24"/>
          <w:szCs w:val="24"/>
        </w:rPr>
        <w:t xml:space="preserve"> tiks veicināta </w:t>
      </w:r>
      <w:r w:rsidRPr="008920E5">
        <w:rPr>
          <w:rFonts w:ascii="Times New Roman" w:eastAsiaTheme="minorHAnsi" w:hAnsi="Times New Roman" w:cs="Times New Roman"/>
          <w:b/>
          <w:sz w:val="24"/>
          <w:szCs w:val="24"/>
        </w:rPr>
        <w:t>pirmspensijas un pensijas vecuma cilvēku ekonomiskā aktivitāte</w:t>
      </w:r>
      <w:r w:rsidRPr="008920E5">
        <w:rPr>
          <w:rFonts w:ascii="Times New Roman" w:eastAsiaTheme="minorHAnsi" w:hAnsi="Times New Roman" w:cs="Times New Roman"/>
          <w:sz w:val="24"/>
          <w:szCs w:val="24"/>
        </w:rPr>
        <w:t>.</w:t>
      </w:r>
    </w:p>
    <w:p w14:paraId="553BE5E5" w14:textId="77777777" w:rsidR="009267FC" w:rsidRPr="008920E5" w:rsidRDefault="009267FC" w:rsidP="008920E5">
      <w:pPr>
        <w:pStyle w:val="ListParagraph"/>
        <w:numPr>
          <w:ilvl w:val="0"/>
          <w:numId w:val="30"/>
        </w:numPr>
        <w:autoSpaceDE w:val="0"/>
        <w:autoSpaceDN w:val="0"/>
        <w:adjustRightInd w:val="0"/>
        <w:spacing w:after="0" w:line="240" w:lineRule="auto"/>
        <w:ind w:left="1276" w:hanging="371"/>
        <w:jc w:val="both"/>
        <w:rPr>
          <w:rFonts w:ascii="Times New Roman" w:eastAsiaTheme="minorHAnsi" w:hAnsi="Times New Roman" w:cs="Times New Roman"/>
          <w:sz w:val="24"/>
          <w:szCs w:val="24"/>
        </w:rPr>
      </w:pPr>
      <w:r w:rsidRPr="008920E5">
        <w:rPr>
          <w:rFonts w:ascii="Times New Roman" w:eastAsiaTheme="minorHAnsi" w:hAnsi="Times New Roman" w:cs="Times New Roman"/>
          <w:sz w:val="24"/>
          <w:szCs w:val="24"/>
        </w:rPr>
        <w:t>Publiskā finansējuma samazinošie faktori:</w:t>
      </w:r>
    </w:p>
    <w:p w14:paraId="317B92EA" w14:textId="42911385" w:rsidR="008920E5" w:rsidRPr="0057255A" w:rsidRDefault="009267FC" w:rsidP="009267FC">
      <w:pPr>
        <w:numPr>
          <w:ilvl w:val="0"/>
          <w:numId w:val="31"/>
        </w:numPr>
        <w:autoSpaceDE w:val="0"/>
        <w:autoSpaceDN w:val="0"/>
        <w:adjustRightInd w:val="0"/>
        <w:spacing w:after="0" w:line="240" w:lineRule="auto"/>
        <w:ind w:left="1701"/>
        <w:contextualSpacing/>
        <w:jc w:val="both"/>
        <w:rPr>
          <w:rFonts w:ascii="Times New Roman" w:eastAsiaTheme="minorHAnsi" w:hAnsi="Times New Roman" w:cs="Times New Roman"/>
          <w:sz w:val="24"/>
          <w:szCs w:val="24"/>
        </w:rPr>
      </w:pPr>
      <w:r w:rsidRPr="009267FC">
        <w:rPr>
          <w:rFonts w:ascii="Times New Roman" w:eastAsiaTheme="minorHAnsi" w:hAnsi="Times New Roman" w:cs="Times New Roman"/>
          <w:sz w:val="24"/>
          <w:szCs w:val="24"/>
        </w:rPr>
        <w:t xml:space="preserve">Iedzīvotāju vispārējam veselības līmenim uzlabojoties, </w:t>
      </w:r>
      <w:r w:rsidRPr="009267FC">
        <w:rPr>
          <w:rFonts w:ascii="Times New Roman" w:eastAsiaTheme="minorHAnsi" w:hAnsi="Times New Roman" w:cs="Times New Roman"/>
          <w:b/>
          <w:sz w:val="24"/>
          <w:szCs w:val="24"/>
        </w:rPr>
        <w:t>samazināsies izdevumi sociāliem pabalstiem un slimības lapām.</w:t>
      </w:r>
      <w:r w:rsidRPr="009267FC">
        <w:rPr>
          <w:rFonts w:ascii="Times New Roman" w:eastAsiaTheme="minorHAnsi" w:hAnsi="Times New Roman" w:cs="Times New Roman"/>
          <w:sz w:val="24"/>
          <w:szCs w:val="24"/>
        </w:rPr>
        <w:t xml:space="preserve"> </w:t>
      </w:r>
    </w:p>
    <w:p w14:paraId="6646CA67" w14:textId="34517C8E" w:rsidR="009267FC" w:rsidRPr="0057255A" w:rsidRDefault="009267FC" w:rsidP="0057255A">
      <w:pPr>
        <w:spacing w:before="320" w:after="120" w:line="240" w:lineRule="auto"/>
        <w:ind w:firstLine="720"/>
        <w:jc w:val="both"/>
        <w:rPr>
          <w:rFonts w:ascii="Times New Roman" w:eastAsia="Calibri" w:hAnsi="Times New Roman" w:cs="Times New Roman"/>
          <w:b/>
          <w:color w:val="000000"/>
          <w:sz w:val="24"/>
          <w:szCs w:val="24"/>
        </w:rPr>
      </w:pPr>
      <w:r w:rsidRPr="0057255A">
        <w:rPr>
          <w:rFonts w:ascii="Times New Roman" w:eastAsia="Calibri" w:hAnsi="Times New Roman" w:cs="Times New Roman"/>
          <w:b/>
          <w:color w:val="000000"/>
          <w:sz w:val="24"/>
          <w:szCs w:val="24"/>
        </w:rPr>
        <w:t>Papildus izdevumi veselības aprūpei</w:t>
      </w:r>
      <w:r w:rsidR="0057255A" w:rsidRPr="0057255A">
        <w:rPr>
          <w:rFonts w:ascii="Times New Roman" w:eastAsia="Calibri" w:hAnsi="Times New Roman" w:cs="Times New Roman"/>
          <w:b/>
          <w:color w:val="000000"/>
          <w:sz w:val="24"/>
          <w:szCs w:val="24"/>
        </w:rPr>
        <w:t xml:space="preserve"> jaunajās politikas iniciatīvās</w:t>
      </w:r>
    </w:p>
    <w:p w14:paraId="44CFC961" w14:textId="7754CC50" w:rsidR="009267FC" w:rsidRPr="009267FC" w:rsidRDefault="0057255A" w:rsidP="00B51DE5">
      <w:pPr>
        <w:spacing w:after="6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N</w:t>
      </w:r>
      <w:r w:rsidR="00B51DE5">
        <w:rPr>
          <w:rFonts w:ascii="Times New Roman" w:eastAsiaTheme="minorHAnsi" w:hAnsi="Times New Roman"/>
          <w:sz w:val="24"/>
          <w:szCs w:val="24"/>
        </w:rPr>
        <w:t>AP 2020</w:t>
      </w:r>
      <w:r w:rsidR="009267FC" w:rsidRPr="009267FC">
        <w:rPr>
          <w:rFonts w:ascii="Times New Roman" w:eastAsiaTheme="minorHAnsi" w:hAnsi="Times New Roman"/>
          <w:sz w:val="24"/>
          <w:szCs w:val="24"/>
        </w:rPr>
        <w:t xml:space="preserve"> izvirzītā un </w:t>
      </w:r>
      <w:r w:rsidR="00B51DE5">
        <w:rPr>
          <w:rFonts w:ascii="Times New Roman" w:eastAsiaTheme="minorHAnsi" w:hAnsi="Times New Roman"/>
          <w:sz w:val="24"/>
          <w:szCs w:val="24"/>
        </w:rPr>
        <w:t>“S</w:t>
      </w:r>
      <w:r w:rsidR="009267FC" w:rsidRPr="009267FC">
        <w:rPr>
          <w:rFonts w:ascii="Times New Roman" w:eastAsiaTheme="minorHAnsi" w:hAnsi="Times New Roman"/>
          <w:sz w:val="24"/>
          <w:szCs w:val="24"/>
        </w:rPr>
        <w:t>abiedrības veselības pamatnostādnēs 2014</w:t>
      </w:r>
      <w:r w:rsidR="00B51DE5">
        <w:rPr>
          <w:rFonts w:ascii="Times New Roman" w:eastAsiaTheme="minorHAnsi" w:hAnsi="Times New Roman"/>
          <w:sz w:val="24"/>
          <w:szCs w:val="24"/>
        </w:rPr>
        <w:t xml:space="preserve">. – </w:t>
      </w:r>
      <w:r w:rsidR="009267FC" w:rsidRPr="009267FC">
        <w:rPr>
          <w:rFonts w:ascii="Times New Roman" w:eastAsiaTheme="minorHAnsi" w:hAnsi="Times New Roman"/>
          <w:sz w:val="24"/>
          <w:szCs w:val="24"/>
        </w:rPr>
        <w:t>2020</w:t>
      </w:r>
      <w:r w:rsidR="00B51DE5">
        <w:rPr>
          <w:rFonts w:ascii="Times New Roman" w:eastAsiaTheme="minorHAnsi" w:hAnsi="Times New Roman"/>
          <w:sz w:val="24"/>
          <w:szCs w:val="24"/>
        </w:rPr>
        <w:t>.gadam”</w:t>
      </w:r>
      <w:r w:rsidR="009267FC" w:rsidRPr="009267FC">
        <w:rPr>
          <w:rFonts w:ascii="Times New Roman" w:eastAsiaTheme="minorHAnsi" w:hAnsi="Times New Roman"/>
          <w:sz w:val="24"/>
          <w:szCs w:val="24"/>
        </w:rPr>
        <w:t xml:space="preserve"> detalizētā </w:t>
      </w:r>
      <w:r w:rsidR="009267FC" w:rsidRPr="009267FC">
        <w:rPr>
          <w:rFonts w:ascii="Times New Roman" w:eastAsiaTheme="minorHAnsi" w:hAnsi="Times New Roman"/>
          <w:b/>
          <w:sz w:val="24"/>
          <w:szCs w:val="24"/>
        </w:rPr>
        <w:t>veselības sistēmas reforma</w:t>
      </w:r>
      <w:r w:rsidR="009267FC" w:rsidRPr="009267FC">
        <w:rPr>
          <w:rFonts w:ascii="Times New Roman" w:eastAsiaTheme="minorHAnsi" w:hAnsi="Times New Roman"/>
          <w:sz w:val="24"/>
          <w:szCs w:val="24"/>
        </w:rPr>
        <w:t xml:space="preserve"> ir </w:t>
      </w:r>
      <w:r w:rsidR="00B51DE5">
        <w:rPr>
          <w:rFonts w:ascii="Times New Roman" w:eastAsiaTheme="minorHAnsi" w:hAnsi="Times New Roman"/>
          <w:sz w:val="24"/>
          <w:szCs w:val="24"/>
        </w:rPr>
        <w:t>MK</w:t>
      </w:r>
      <w:r w:rsidR="009267FC" w:rsidRPr="009267FC">
        <w:rPr>
          <w:rFonts w:ascii="Times New Roman" w:eastAsiaTheme="minorHAnsi" w:hAnsi="Times New Roman"/>
          <w:sz w:val="24"/>
          <w:szCs w:val="24"/>
        </w:rPr>
        <w:t xml:space="preserve"> apstiprināta un tās ieviešana ir uzsākta 2014.gadā, attiecīgi piešķirot būtiskus papildu resursus vi</w:t>
      </w:r>
      <w:r w:rsidR="00B51DE5">
        <w:rPr>
          <w:rFonts w:ascii="Times New Roman" w:eastAsiaTheme="minorHAnsi" w:hAnsi="Times New Roman"/>
          <w:sz w:val="24"/>
          <w:szCs w:val="24"/>
        </w:rPr>
        <w:t xml:space="preserve">dēja termiņa budžeta ietvaros. </w:t>
      </w:r>
      <w:r w:rsidR="009267FC" w:rsidRPr="009267FC">
        <w:rPr>
          <w:rFonts w:ascii="Times New Roman" w:eastAsiaTheme="minorHAnsi" w:hAnsi="Times New Roman"/>
          <w:sz w:val="24"/>
          <w:szCs w:val="24"/>
        </w:rPr>
        <w:t xml:space="preserve">Divos secīgos vidēja termiņa budžeta sagatavošanas ciklos, proti, gan Likumā „Par vidēja termiņa budžeta ietvaru 2014., 2015. un 2016.gadam”, gan likumā “Par vidēja termiņa budžeta ietvaru 2015., 2016. un 2017.gadam” valdība lēma par papildus </w:t>
      </w:r>
      <w:r w:rsidR="00716665">
        <w:rPr>
          <w:rFonts w:ascii="Times New Roman" w:eastAsiaTheme="minorHAnsi" w:hAnsi="Times New Roman"/>
          <w:sz w:val="24"/>
          <w:szCs w:val="24"/>
        </w:rPr>
        <w:t>JPI</w:t>
      </w:r>
      <w:r w:rsidR="009267FC" w:rsidRPr="009267FC">
        <w:rPr>
          <w:rFonts w:ascii="Times New Roman" w:eastAsiaTheme="minorHAnsi" w:hAnsi="Times New Roman"/>
          <w:sz w:val="24"/>
          <w:szCs w:val="24"/>
        </w:rPr>
        <w:t xml:space="preserve"> īstenošanu. Jāatzīmē, ka zemāk minētie papildus izdevumu piešķīrumi veselības nozarei ir veikti attiecībā pret sākotnēji definēto bāzes izdevumu līmeni</w:t>
      </w:r>
      <w:r w:rsidR="009267FC" w:rsidRPr="009267FC">
        <w:rPr>
          <w:rFonts w:ascii="Times New Roman" w:eastAsiaTheme="minorHAnsi" w:hAnsi="Times New Roman"/>
          <w:sz w:val="24"/>
          <w:szCs w:val="24"/>
          <w:vertAlign w:val="superscript"/>
        </w:rPr>
        <w:footnoteReference w:id="16"/>
      </w:r>
      <w:r w:rsidR="009267FC" w:rsidRPr="009267FC">
        <w:rPr>
          <w:rFonts w:ascii="Times New Roman" w:eastAsiaTheme="minorHAnsi" w:hAnsi="Times New Roman"/>
          <w:sz w:val="24"/>
          <w:szCs w:val="24"/>
        </w:rPr>
        <w:t>.</w:t>
      </w:r>
    </w:p>
    <w:p w14:paraId="726D60A8" w14:textId="291FB512" w:rsidR="009267FC" w:rsidRPr="009267FC" w:rsidRDefault="009267FC" w:rsidP="00B51DE5">
      <w:pPr>
        <w:spacing w:after="60" w:line="240" w:lineRule="auto"/>
        <w:ind w:firstLine="720"/>
        <w:jc w:val="both"/>
        <w:rPr>
          <w:rFonts w:ascii="Times New Roman" w:eastAsiaTheme="minorHAnsi" w:hAnsi="Times New Roman"/>
          <w:sz w:val="24"/>
          <w:szCs w:val="24"/>
        </w:rPr>
      </w:pPr>
      <w:r w:rsidRPr="009267FC">
        <w:rPr>
          <w:rFonts w:ascii="Times New Roman" w:eastAsiaTheme="minorHAnsi" w:hAnsi="Times New Roman"/>
          <w:sz w:val="24"/>
          <w:szCs w:val="24"/>
        </w:rPr>
        <w:t xml:space="preserve">Likumā „Par vidēja termiņa budžeta ietvaru 2014., 2015. un 2016.gadam” valdība apstiprināja </w:t>
      </w:r>
      <w:r w:rsidR="00716665">
        <w:rPr>
          <w:rFonts w:ascii="Times New Roman" w:eastAsiaTheme="minorHAnsi" w:hAnsi="Times New Roman"/>
          <w:sz w:val="24"/>
          <w:szCs w:val="24"/>
        </w:rPr>
        <w:t>JPI</w:t>
      </w:r>
      <w:r w:rsidRPr="009267FC">
        <w:rPr>
          <w:rFonts w:ascii="Times New Roman" w:eastAsiaTheme="minorHAnsi" w:hAnsi="Times New Roman"/>
          <w:sz w:val="24"/>
          <w:szCs w:val="24"/>
        </w:rPr>
        <w:t xml:space="preserve"> veselības nozarei kopumā </w:t>
      </w:r>
      <w:r w:rsidRPr="009267FC">
        <w:rPr>
          <w:rFonts w:ascii="Times New Roman" w:eastAsiaTheme="minorHAnsi" w:hAnsi="Times New Roman"/>
          <w:b/>
          <w:sz w:val="24"/>
          <w:szCs w:val="24"/>
        </w:rPr>
        <w:t xml:space="preserve">42 milj. </w:t>
      </w:r>
      <w:r w:rsidRPr="009267FC">
        <w:rPr>
          <w:rFonts w:ascii="Times New Roman" w:eastAsiaTheme="minorHAnsi" w:hAnsi="Times New Roman"/>
          <w:b/>
          <w:i/>
          <w:sz w:val="24"/>
          <w:szCs w:val="24"/>
        </w:rPr>
        <w:t>euro</w:t>
      </w:r>
      <w:r w:rsidRPr="009267FC">
        <w:rPr>
          <w:rFonts w:ascii="Times New Roman" w:eastAsiaTheme="minorHAnsi" w:hAnsi="Times New Roman"/>
          <w:b/>
          <w:sz w:val="24"/>
          <w:szCs w:val="24"/>
        </w:rPr>
        <w:t xml:space="preserve"> 2014.gadam, kā arī 48,9 milj. </w:t>
      </w:r>
      <w:r w:rsidRPr="009267FC">
        <w:rPr>
          <w:rFonts w:ascii="Times New Roman" w:eastAsiaTheme="minorHAnsi" w:hAnsi="Times New Roman"/>
          <w:b/>
          <w:i/>
          <w:sz w:val="24"/>
          <w:szCs w:val="24"/>
        </w:rPr>
        <w:t>euro</w:t>
      </w:r>
      <w:r w:rsidRPr="009267FC">
        <w:rPr>
          <w:rFonts w:ascii="Times New Roman" w:eastAsiaTheme="minorHAnsi" w:hAnsi="Times New Roman"/>
          <w:b/>
          <w:sz w:val="24"/>
          <w:szCs w:val="24"/>
        </w:rPr>
        <w:t xml:space="preserve"> 2015.gadam un 51 milj. </w:t>
      </w:r>
      <w:r w:rsidRPr="009267FC">
        <w:rPr>
          <w:rFonts w:ascii="Times New Roman" w:eastAsiaTheme="minorHAnsi" w:hAnsi="Times New Roman"/>
          <w:b/>
          <w:i/>
          <w:sz w:val="24"/>
          <w:szCs w:val="24"/>
        </w:rPr>
        <w:t xml:space="preserve">euro </w:t>
      </w:r>
      <w:r w:rsidRPr="009267FC">
        <w:rPr>
          <w:rFonts w:ascii="Times New Roman" w:eastAsiaTheme="minorHAnsi" w:hAnsi="Times New Roman"/>
          <w:b/>
          <w:sz w:val="24"/>
          <w:szCs w:val="24"/>
        </w:rPr>
        <w:t>2016.gadam,</w:t>
      </w:r>
      <w:r w:rsidRPr="009267FC">
        <w:rPr>
          <w:rFonts w:ascii="Times New Roman" w:eastAsiaTheme="minorHAnsi" w:hAnsi="Times New Roman"/>
          <w:sz w:val="24"/>
          <w:szCs w:val="24"/>
        </w:rPr>
        <w:t xml:space="preserve"> lai veicinātu izmaksu efektīvu, fiziski un finansiāli pieejamu un kvalitatīvu veselības aprūpes pakalpojumu nodrošināšanu, tādējādi turpinot veselības aprūpes jomā uzsākto reformu realizēšanu. Aplūkojot detalizētāk, iepriekšminētais finansējums tika piešķirts sekojošiem galvenajiem pasākumiem:</w:t>
      </w:r>
    </w:p>
    <w:p w14:paraId="692205BD" w14:textId="5CF78B0E" w:rsidR="009267FC" w:rsidRPr="009267FC" w:rsidRDefault="009267FC" w:rsidP="00B51DE5">
      <w:pPr>
        <w:numPr>
          <w:ilvl w:val="0"/>
          <w:numId w:val="32"/>
        </w:numPr>
        <w:spacing w:after="60" w:line="240" w:lineRule="auto"/>
        <w:ind w:left="1134"/>
        <w:jc w:val="both"/>
        <w:rPr>
          <w:rFonts w:ascii="Times New Roman" w:eastAsiaTheme="minorHAnsi" w:hAnsi="Times New Roman"/>
          <w:sz w:val="24"/>
          <w:szCs w:val="24"/>
        </w:rPr>
      </w:pPr>
      <w:r w:rsidRPr="009267FC">
        <w:rPr>
          <w:rFonts w:ascii="Times New Roman" w:eastAsiaTheme="minorHAnsi" w:hAnsi="Times New Roman"/>
          <w:sz w:val="24"/>
          <w:szCs w:val="24"/>
        </w:rPr>
        <w:t xml:space="preserve">ārstniecības personu un pārējā personāla darba samaksas paaugstināšanai, kā arī mēneša darba algas atšķirību izlīdzināšanai starp dažādām veselības aprūpes jomā nodarbināto kategorijām (aptuveni 30 milj. </w:t>
      </w:r>
      <w:r w:rsidRPr="009267FC">
        <w:rPr>
          <w:rFonts w:ascii="Times New Roman" w:eastAsiaTheme="minorHAnsi" w:hAnsi="Times New Roman"/>
          <w:i/>
          <w:sz w:val="24"/>
          <w:szCs w:val="24"/>
        </w:rPr>
        <w:t>euro</w:t>
      </w:r>
      <w:r w:rsidR="000039CF">
        <w:rPr>
          <w:rFonts w:ascii="Times New Roman" w:eastAsiaTheme="minorHAnsi" w:hAnsi="Times New Roman"/>
          <w:sz w:val="24"/>
          <w:szCs w:val="24"/>
        </w:rPr>
        <w:t xml:space="preserve">, 2016.gadam – 32,2 milj. </w:t>
      </w:r>
      <w:r w:rsidR="000039CF">
        <w:rPr>
          <w:rFonts w:ascii="Times New Roman" w:eastAsiaTheme="minorHAnsi" w:hAnsi="Times New Roman"/>
          <w:i/>
          <w:sz w:val="24"/>
          <w:szCs w:val="24"/>
        </w:rPr>
        <w:t>euro</w:t>
      </w:r>
      <w:r w:rsidRPr="009267FC">
        <w:rPr>
          <w:rFonts w:ascii="Times New Roman" w:eastAsiaTheme="minorHAnsi" w:hAnsi="Times New Roman"/>
          <w:sz w:val="24"/>
          <w:szCs w:val="24"/>
        </w:rPr>
        <w:t>);</w:t>
      </w:r>
    </w:p>
    <w:p w14:paraId="5943157A" w14:textId="77777777" w:rsidR="009267FC" w:rsidRPr="009267FC" w:rsidRDefault="009267FC" w:rsidP="00B51DE5">
      <w:pPr>
        <w:numPr>
          <w:ilvl w:val="0"/>
          <w:numId w:val="32"/>
        </w:numPr>
        <w:spacing w:after="60" w:line="240" w:lineRule="auto"/>
        <w:ind w:left="1134"/>
        <w:jc w:val="both"/>
        <w:rPr>
          <w:rFonts w:ascii="Times New Roman" w:eastAsiaTheme="minorHAnsi" w:hAnsi="Times New Roman"/>
          <w:sz w:val="24"/>
          <w:szCs w:val="24"/>
        </w:rPr>
      </w:pPr>
      <w:r w:rsidRPr="009267FC">
        <w:rPr>
          <w:rFonts w:ascii="Times New Roman" w:eastAsiaTheme="minorHAnsi" w:hAnsi="Times New Roman"/>
          <w:sz w:val="24"/>
          <w:szCs w:val="24"/>
        </w:rPr>
        <w:t xml:space="preserve">ambulatoro un stacionāro veselības aprūpes pakalpojumu gaidīšanas rindu mazināšanai (attiecīgi 2,1 milj. </w:t>
      </w:r>
      <w:r w:rsidRPr="009267FC">
        <w:rPr>
          <w:rFonts w:ascii="Times New Roman" w:eastAsiaTheme="minorHAnsi" w:hAnsi="Times New Roman"/>
          <w:i/>
          <w:sz w:val="24"/>
          <w:szCs w:val="24"/>
        </w:rPr>
        <w:t>euro</w:t>
      </w:r>
      <w:r w:rsidRPr="009267FC">
        <w:rPr>
          <w:rFonts w:ascii="Times New Roman" w:eastAsiaTheme="minorHAnsi" w:hAnsi="Times New Roman"/>
          <w:sz w:val="24"/>
          <w:szCs w:val="24"/>
        </w:rPr>
        <w:t xml:space="preserve"> un 1,3 milj. </w:t>
      </w:r>
      <w:r w:rsidRPr="009267FC">
        <w:rPr>
          <w:rFonts w:ascii="Times New Roman" w:eastAsiaTheme="minorHAnsi" w:hAnsi="Times New Roman"/>
          <w:i/>
          <w:sz w:val="24"/>
          <w:szCs w:val="24"/>
        </w:rPr>
        <w:t xml:space="preserve">euro </w:t>
      </w:r>
      <w:r w:rsidRPr="009267FC">
        <w:rPr>
          <w:rFonts w:ascii="Times New Roman" w:eastAsiaTheme="minorHAnsi" w:hAnsi="Times New Roman"/>
          <w:sz w:val="24"/>
          <w:szCs w:val="24"/>
        </w:rPr>
        <w:t>katram gadam);</w:t>
      </w:r>
    </w:p>
    <w:p w14:paraId="7D9BBFC9" w14:textId="77777777" w:rsidR="009267FC" w:rsidRPr="009267FC" w:rsidRDefault="009267FC" w:rsidP="00B51DE5">
      <w:pPr>
        <w:numPr>
          <w:ilvl w:val="0"/>
          <w:numId w:val="32"/>
        </w:numPr>
        <w:spacing w:after="60" w:line="240" w:lineRule="auto"/>
        <w:ind w:left="1134"/>
        <w:jc w:val="both"/>
        <w:rPr>
          <w:rFonts w:ascii="Times New Roman" w:eastAsiaTheme="minorHAnsi" w:hAnsi="Times New Roman"/>
          <w:sz w:val="24"/>
          <w:szCs w:val="24"/>
        </w:rPr>
      </w:pPr>
      <w:r w:rsidRPr="009267FC">
        <w:rPr>
          <w:rFonts w:ascii="Times New Roman" w:eastAsiaTheme="minorHAnsi" w:hAnsi="Times New Roman"/>
          <w:sz w:val="24"/>
          <w:szCs w:val="24"/>
        </w:rPr>
        <w:t xml:space="preserve">ambulatorajai ārstniecībai paredzēto zāļu iegādes izdevumu kompensācijai un centralizēto medikamentu iegādes nodrošināšanai (4,5 milj. </w:t>
      </w:r>
      <w:r w:rsidRPr="009267FC">
        <w:rPr>
          <w:rFonts w:ascii="Times New Roman" w:eastAsiaTheme="minorHAnsi" w:hAnsi="Times New Roman"/>
          <w:i/>
          <w:sz w:val="24"/>
          <w:szCs w:val="24"/>
        </w:rPr>
        <w:t xml:space="preserve">euro </w:t>
      </w:r>
      <w:r w:rsidRPr="009267FC">
        <w:rPr>
          <w:rFonts w:ascii="Times New Roman" w:eastAsiaTheme="minorHAnsi" w:hAnsi="Times New Roman"/>
          <w:sz w:val="24"/>
          <w:szCs w:val="24"/>
        </w:rPr>
        <w:t>katram gadam);</w:t>
      </w:r>
    </w:p>
    <w:p w14:paraId="5B197362" w14:textId="5BE4D3F6" w:rsidR="009267FC" w:rsidRPr="009267FC" w:rsidRDefault="009267FC" w:rsidP="00B51DE5">
      <w:pPr>
        <w:numPr>
          <w:ilvl w:val="0"/>
          <w:numId w:val="32"/>
        </w:numPr>
        <w:spacing w:after="60" w:line="240" w:lineRule="auto"/>
        <w:ind w:left="1134"/>
        <w:jc w:val="both"/>
        <w:rPr>
          <w:rFonts w:ascii="Times New Roman" w:eastAsiaTheme="minorHAnsi" w:hAnsi="Times New Roman"/>
          <w:sz w:val="24"/>
          <w:szCs w:val="24"/>
        </w:rPr>
      </w:pPr>
      <w:r w:rsidRPr="009267FC">
        <w:rPr>
          <w:rFonts w:ascii="Times New Roman" w:eastAsiaTheme="minorHAnsi" w:hAnsi="Times New Roman"/>
          <w:sz w:val="24"/>
          <w:szCs w:val="24"/>
        </w:rPr>
        <w:t xml:space="preserve">kompensējamo recepšu medikamentu apmaksāšanai bērniem 100% apmērā (1,4 milj. </w:t>
      </w:r>
      <w:r w:rsidRPr="009267FC">
        <w:rPr>
          <w:rFonts w:ascii="Times New Roman" w:eastAsiaTheme="minorHAnsi" w:hAnsi="Times New Roman"/>
          <w:i/>
          <w:sz w:val="24"/>
          <w:szCs w:val="24"/>
        </w:rPr>
        <w:t xml:space="preserve">euro </w:t>
      </w:r>
      <w:r w:rsidRPr="009267FC">
        <w:rPr>
          <w:rFonts w:ascii="Times New Roman" w:eastAsiaTheme="minorHAnsi" w:hAnsi="Times New Roman"/>
          <w:sz w:val="24"/>
          <w:szCs w:val="24"/>
        </w:rPr>
        <w:t>katram gadam).</w:t>
      </w:r>
    </w:p>
    <w:p w14:paraId="2D13DA26" w14:textId="77777777" w:rsidR="009267FC" w:rsidRPr="009267FC" w:rsidRDefault="009267FC" w:rsidP="00B51DE5">
      <w:pPr>
        <w:spacing w:after="60" w:line="240" w:lineRule="auto"/>
        <w:ind w:firstLine="720"/>
        <w:jc w:val="both"/>
        <w:rPr>
          <w:rFonts w:ascii="Times New Roman" w:eastAsiaTheme="minorHAnsi" w:hAnsi="Times New Roman"/>
          <w:sz w:val="24"/>
          <w:szCs w:val="24"/>
        </w:rPr>
      </w:pPr>
      <w:r w:rsidRPr="009267FC">
        <w:rPr>
          <w:rFonts w:ascii="Times New Roman" w:eastAsiaTheme="minorHAnsi" w:hAnsi="Times New Roman"/>
          <w:sz w:val="24"/>
          <w:szCs w:val="24"/>
        </w:rPr>
        <w:t xml:space="preserve">Savukārt likumā “Par vidēja termiņa budžeta ietvaru 2015., 2016. un 2017.gadam” valdība lēma par papildu finansējuma novirzīšanu veselības nozarei </w:t>
      </w:r>
      <w:r w:rsidRPr="009267FC">
        <w:rPr>
          <w:rFonts w:ascii="Times New Roman" w:eastAsiaTheme="minorHAnsi" w:hAnsi="Times New Roman"/>
          <w:b/>
          <w:sz w:val="24"/>
          <w:szCs w:val="24"/>
        </w:rPr>
        <w:t xml:space="preserve">30,6 milj. </w:t>
      </w:r>
      <w:r w:rsidRPr="009267FC">
        <w:rPr>
          <w:rFonts w:ascii="Times New Roman" w:eastAsiaTheme="minorHAnsi" w:hAnsi="Times New Roman"/>
          <w:b/>
          <w:i/>
          <w:sz w:val="24"/>
          <w:szCs w:val="24"/>
        </w:rPr>
        <w:t>euro</w:t>
      </w:r>
      <w:r w:rsidRPr="009267FC">
        <w:rPr>
          <w:rFonts w:ascii="Times New Roman" w:eastAsiaTheme="minorHAnsi" w:hAnsi="Times New Roman"/>
          <w:sz w:val="24"/>
          <w:szCs w:val="24"/>
        </w:rPr>
        <w:t xml:space="preserve"> apmērā minētajiem trim gadiem, lai turpinātu nodrošināt veselības aprūpes pieejamības, kvalitātes un izmaksu lietderības kāpināšanu. Piešķirtā finansējuma ietvaros tiks nodrošināti sekojoši galvenie pasākumi:</w:t>
      </w:r>
    </w:p>
    <w:p w14:paraId="6DA4B074" w14:textId="187BD962" w:rsidR="009267FC" w:rsidRPr="008920E5" w:rsidRDefault="000039CF" w:rsidP="00AE4E31">
      <w:pPr>
        <w:pStyle w:val="ListParagraph"/>
        <w:numPr>
          <w:ilvl w:val="0"/>
          <w:numId w:val="33"/>
        </w:numPr>
        <w:spacing w:after="60" w:line="240" w:lineRule="auto"/>
        <w:ind w:left="1066" w:hanging="357"/>
        <w:contextualSpacing w:val="0"/>
        <w:jc w:val="both"/>
        <w:rPr>
          <w:rFonts w:ascii="Times New Roman" w:eastAsiaTheme="minorHAnsi" w:hAnsi="Times New Roman"/>
          <w:sz w:val="24"/>
          <w:szCs w:val="24"/>
        </w:rPr>
      </w:pPr>
      <w:r>
        <w:rPr>
          <w:rFonts w:ascii="Times New Roman" w:eastAsiaTheme="minorHAnsi" w:hAnsi="Times New Roman"/>
          <w:sz w:val="24"/>
          <w:szCs w:val="24"/>
        </w:rPr>
        <w:t>minimālās mēneša darba algas pieauguma kompensācija veselības aprūpes pakalpojumu tarifos</w:t>
      </w:r>
      <w:r w:rsidR="009267FC" w:rsidRPr="008920E5">
        <w:rPr>
          <w:rFonts w:ascii="Times New Roman" w:eastAsiaTheme="minorHAnsi" w:hAnsi="Times New Roman"/>
          <w:sz w:val="24"/>
          <w:szCs w:val="24"/>
        </w:rPr>
        <w:t xml:space="preserve"> (7,7 milj. </w:t>
      </w:r>
      <w:r w:rsidR="009267FC" w:rsidRPr="008920E5">
        <w:rPr>
          <w:rFonts w:ascii="Times New Roman" w:eastAsiaTheme="minorHAnsi" w:hAnsi="Times New Roman"/>
          <w:i/>
          <w:sz w:val="24"/>
          <w:szCs w:val="24"/>
        </w:rPr>
        <w:t>euro</w:t>
      </w:r>
      <w:r w:rsidR="009267FC" w:rsidRPr="008920E5">
        <w:rPr>
          <w:rFonts w:ascii="Times New Roman" w:eastAsiaTheme="minorHAnsi" w:hAnsi="Times New Roman"/>
          <w:sz w:val="24"/>
          <w:szCs w:val="24"/>
        </w:rPr>
        <w:t xml:space="preserve"> katram gadam);</w:t>
      </w:r>
    </w:p>
    <w:p w14:paraId="62124B5F" w14:textId="31BBECD6" w:rsidR="009267FC" w:rsidRPr="008920E5" w:rsidRDefault="000039CF" w:rsidP="00AE4E31">
      <w:pPr>
        <w:pStyle w:val="ListParagraph"/>
        <w:numPr>
          <w:ilvl w:val="0"/>
          <w:numId w:val="33"/>
        </w:numPr>
        <w:spacing w:after="60" w:line="240" w:lineRule="auto"/>
        <w:ind w:left="1066" w:hanging="357"/>
        <w:contextualSpacing w:val="0"/>
        <w:jc w:val="both"/>
        <w:rPr>
          <w:rFonts w:ascii="Times New Roman" w:eastAsiaTheme="minorHAnsi" w:hAnsi="Times New Roman"/>
          <w:sz w:val="24"/>
          <w:szCs w:val="24"/>
        </w:rPr>
      </w:pPr>
      <w:r>
        <w:rPr>
          <w:rFonts w:ascii="Times New Roman" w:eastAsiaTheme="minorHAnsi" w:hAnsi="Times New Roman"/>
          <w:sz w:val="24"/>
          <w:szCs w:val="24"/>
        </w:rPr>
        <w:t>rezidentu apmācības nodrošināšana</w:t>
      </w:r>
      <w:r w:rsidR="009267FC" w:rsidRPr="008920E5">
        <w:rPr>
          <w:rFonts w:ascii="Times New Roman" w:eastAsiaTheme="minorHAnsi" w:hAnsi="Times New Roman"/>
          <w:sz w:val="24"/>
          <w:szCs w:val="24"/>
        </w:rPr>
        <w:t xml:space="preserve"> (1,7 milj. </w:t>
      </w:r>
      <w:r w:rsidR="009267FC" w:rsidRPr="008920E5">
        <w:rPr>
          <w:rFonts w:ascii="Times New Roman" w:eastAsiaTheme="minorHAnsi" w:hAnsi="Times New Roman"/>
          <w:i/>
          <w:sz w:val="24"/>
          <w:szCs w:val="24"/>
        </w:rPr>
        <w:t>euro</w:t>
      </w:r>
      <w:r w:rsidR="009267FC" w:rsidRPr="008920E5">
        <w:rPr>
          <w:rFonts w:ascii="Times New Roman" w:eastAsiaTheme="minorHAnsi" w:hAnsi="Times New Roman"/>
          <w:sz w:val="24"/>
          <w:szCs w:val="24"/>
        </w:rPr>
        <w:t xml:space="preserve"> katram gadam);</w:t>
      </w:r>
    </w:p>
    <w:p w14:paraId="72E277D1" w14:textId="77777777" w:rsidR="009267FC" w:rsidRPr="008920E5" w:rsidRDefault="009267FC" w:rsidP="00AE4E31">
      <w:pPr>
        <w:pStyle w:val="ListParagraph"/>
        <w:numPr>
          <w:ilvl w:val="0"/>
          <w:numId w:val="33"/>
        </w:numPr>
        <w:spacing w:after="60" w:line="240" w:lineRule="auto"/>
        <w:ind w:left="1066" w:hanging="357"/>
        <w:contextualSpacing w:val="0"/>
        <w:jc w:val="both"/>
        <w:rPr>
          <w:rFonts w:ascii="Times New Roman" w:eastAsiaTheme="minorHAnsi" w:hAnsi="Times New Roman"/>
          <w:sz w:val="24"/>
          <w:szCs w:val="24"/>
        </w:rPr>
      </w:pPr>
      <w:r w:rsidRPr="008920E5">
        <w:rPr>
          <w:rFonts w:ascii="Times New Roman" w:eastAsiaTheme="minorHAnsi" w:hAnsi="Times New Roman"/>
          <w:sz w:val="24"/>
          <w:szCs w:val="24"/>
        </w:rPr>
        <w:t xml:space="preserve">ambulatoro veselības aprūpes pakalpojumu gaidīšanas rindu samazināšana un reģionālās pieejamības uzlabošana (9,8 milj. </w:t>
      </w:r>
      <w:r w:rsidRPr="008920E5">
        <w:rPr>
          <w:rFonts w:ascii="Times New Roman" w:eastAsiaTheme="minorHAnsi" w:hAnsi="Times New Roman"/>
          <w:i/>
          <w:sz w:val="24"/>
          <w:szCs w:val="24"/>
        </w:rPr>
        <w:t>euro</w:t>
      </w:r>
      <w:r w:rsidRPr="008920E5">
        <w:rPr>
          <w:rFonts w:ascii="Times New Roman" w:eastAsiaTheme="minorHAnsi" w:hAnsi="Times New Roman"/>
          <w:sz w:val="24"/>
          <w:szCs w:val="24"/>
        </w:rPr>
        <w:t xml:space="preserve"> katram gadam);</w:t>
      </w:r>
    </w:p>
    <w:p w14:paraId="751B73E0" w14:textId="77777777" w:rsidR="009267FC" w:rsidRPr="008920E5" w:rsidRDefault="009267FC" w:rsidP="00AE4E31">
      <w:pPr>
        <w:pStyle w:val="ListParagraph"/>
        <w:numPr>
          <w:ilvl w:val="0"/>
          <w:numId w:val="33"/>
        </w:numPr>
        <w:spacing w:after="60" w:line="240" w:lineRule="auto"/>
        <w:ind w:left="1066" w:hanging="357"/>
        <w:contextualSpacing w:val="0"/>
        <w:jc w:val="both"/>
        <w:rPr>
          <w:rFonts w:ascii="Times New Roman" w:eastAsiaTheme="minorHAnsi" w:hAnsi="Times New Roman"/>
          <w:sz w:val="24"/>
          <w:szCs w:val="24"/>
        </w:rPr>
      </w:pPr>
      <w:r w:rsidRPr="008920E5">
        <w:rPr>
          <w:rFonts w:ascii="Times New Roman" w:eastAsiaTheme="minorHAnsi" w:hAnsi="Times New Roman"/>
          <w:sz w:val="24"/>
          <w:szCs w:val="24"/>
        </w:rPr>
        <w:t xml:space="preserve">stacionāro pakalpojumu apjoma palielināšana, palielinot plānveida hospitalizāciju apjomu (4,4 milj. </w:t>
      </w:r>
      <w:r w:rsidRPr="008920E5">
        <w:rPr>
          <w:rFonts w:ascii="Times New Roman" w:eastAsiaTheme="minorHAnsi" w:hAnsi="Times New Roman"/>
          <w:i/>
          <w:sz w:val="24"/>
          <w:szCs w:val="24"/>
        </w:rPr>
        <w:t>euro</w:t>
      </w:r>
      <w:r w:rsidRPr="008920E5">
        <w:rPr>
          <w:rFonts w:ascii="Times New Roman" w:eastAsiaTheme="minorHAnsi" w:hAnsi="Times New Roman"/>
          <w:sz w:val="24"/>
          <w:szCs w:val="24"/>
        </w:rPr>
        <w:t xml:space="preserve"> katram gadam);</w:t>
      </w:r>
    </w:p>
    <w:p w14:paraId="39394865" w14:textId="77777777" w:rsidR="009267FC" w:rsidRPr="008920E5" w:rsidRDefault="009267FC" w:rsidP="00AE4E31">
      <w:pPr>
        <w:pStyle w:val="ListParagraph"/>
        <w:numPr>
          <w:ilvl w:val="0"/>
          <w:numId w:val="33"/>
        </w:numPr>
        <w:spacing w:after="60" w:line="240" w:lineRule="auto"/>
        <w:ind w:left="1066" w:hanging="357"/>
        <w:contextualSpacing w:val="0"/>
        <w:jc w:val="both"/>
        <w:rPr>
          <w:rFonts w:ascii="Times New Roman" w:eastAsiaTheme="minorHAnsi" w:hAnsi="Times New Roman"/>
          <w:sz w:val="24"/>
          <w:szCs w:val="24"/>
        </w:rPr>
      </w:pPr>
      <w:r w:rsidRPr="008920E5">
        <w:rPr>
          <w:rFonts w:ascii="Times New Roman" w:eastAsiaTheme="minorHAnsi" w:hAnsi="Times New Roman"/>
          <w:sz w:val="24"/>
          <w:szCs w:val="24"/>
        </w:rPr>
        <w:t xml:space="preserve">pacientu iemaksu un līdzmaksājumu samazināšana (2,7 milj. </w:t>
      </w:r>
      <w:r w:rsidRPr="008920E5">
        <w:rPr>
          <w:rFonts w:ascii="Times New Roman" w:eastAsiaTheme="minorHAnsi" w:hAnsi="Times New Roman"/>
          <w:i/>
          <w:sz w:val="24"/>
          <w:szCs w:val="24"/>
        </w:rPr>
        <w:t>euro</w:t>
      </w:r>
      <w:r w:rsidRPr="008920E5">
        <w:rPr>
          <w:rFonts w:ascii="Times New Roman" w:eastAsiaTheme="minorHAnsi" w:hAnsi="Times New Roman"/>
          <w:sz w:val="24"/>
          <w:szCs w:val="24"/>
        </w:rPr>
        <w:t xml:space="preserve"> katram gadam);</w:t>
      </w:r>
    </w:p>
    <w:p w14:paraId="0945E491" w14:textId="094B185D" w:rsidR="009267FC" w:rsidRPr="003F7B43" w:rsidRDefault="009267FC" w:rsidP="00AE4E31">
      <w:pPr>
        <w:pStyle w:val="ListParagraph"/>
        <w:numPr>
          <w:ilvl w:val="0"/>
          <w:numId w:val="33"/>
        </w:numPr>
        <w:spacing w:after="60" w:line="240" w:lineRule="auto"/>
        <w:ind w:left="1066" w:hanging="357"/>
        <w:contextualSpacing w:val="0"/>
        <w:jc w:val="both"/>
        <w:rPr>
          <w:rFonts w:ascii="Times New Roman" w:eastAsiaTheme="minorHAnsi" w:hAnsi="Times New Roman"/>
          <w:sz w:val="24"/>
          <w:szCs w:val="24"/>
        </w:rPr>
      </w:pPr>
      <w:r w:rsidRPr="008920E5">
        <w:rPr>
          <w:rFonts w:ascii="Times New Roman" w:eastAsiaTheme="minorHAnsi" w:hAnsi="Times New Roman"/>
          <w:sz w:val="24"/>
          <w:szCs w:val="24"/>
        </w:rPr>
        <w:t xml:space="preserve">kompensējamo medikamentu un materiālu sistēmas un reto slimību medikamentozās </w:t>
      </w:r>
      <w:r w:rsidR="000039CF">
        <w:rPr>
          <w:rFonts w:ascii="Times New Roman" w:eastAsiaTheme="minorHAnsi" w:hAnsi="Times New Roman"/>
          <w:sz w:val="24"/>
          <w:szCs w:val="24"/>
        </w:rPr>
        <w:t>sistēmas</w:t>
      </w:r>
      <w:r w:rsidRPr="008920E5">
        <w:rPr>
          <w:rFonts w:ascii="Times New Roman" w:eastAsiaTheme="minorHAnsi" w:hAnsi="Times New Roman"/>
          <w:sz w:val="24"/>
          <w:szCs w:val="24"/>
        </w:rPr>
        <w:t xml:space="preserve"> uzlabošana (2,5 milj. </w:t>
      </w:r>
      <w:r w:rsidRPr="008920E5">
        <w:rPr>
          <w:rFonts w:ascii="Times New Roman" w:eastAsiaTheme="minorHAnsi" w:hAnsi="Times New Roman"/>
          <w:i/>
          <w:sz w:val="24"/>
          <w:szCs w:val="24"/>
        </w:rPr>
        <w:t>euro</w:t>
      </w:r>
      <w:r w:rsidRPr="008920E5">
        <w:rPr>
          <w:rFonts w:ascii="Times New Roman" w:eastAsiaTheme="minorHAnsi" w:hAnsi="Times New Roman"/>
          <w:sz w:val="24"/>
          <w:szCs w:val="24"/>
        </w:rPr>
        <w:t xml:space="preserve"> katram gadam).</w:t>
      </w:r>
    </w:p>
    <w:p w14:paraId="2D700999" w14:textId="61D07C67" w:rsidR="009267FC" w:rsidRPr="0057255A" w:rsidRDefault="0057255A" w:rsidP="009944F6">
      <w:pPr>
        <w:spacing w:before="160" w:after="60" w:line="240" w:lineRule="auto"/>
        <w:ind w:firstLine="720"/>
        <w:jc w:val="right"/>
        <w:rPr>
          <w:rFonts w:ascii="Times New Roman" w:eastAsiaTheme="minorHAnsi" w:hAnsi="Times New Roman"/>
          <w:b/>
          <w:sz w:val="24"/>
          <w:szCs w:val="24"/>
        </w:rPr>
      </w:pPr>
      <w:r w:rsidRPr="0057255A">
        <w:rPr>
          <w:rFonts w:ascii="Times New Roman" w:eastAsiaTheme="minorHAnsi" w:hAnsi="Times New Roman"/>
          <w:b/>
          <w:sz w:val="24"/>
          <w:szCs w:val="24"/>
        </w:rPr>
        <w:t>3.10.tabula.</w:t>
      </w:r>
      <w:r w:rsidR="008920E5" w:rsidRPr="0057255A">
        <w:rPr>
          <w:rFonts w:ascii="Times New Roman" w:eastAsiaTheme="minorHAnsi" w:hAnsi="Times New Roman"/>
          <w:b/>
          <w:sz w:val="24"/>
          <w:szCs w:val="24"/>
        </w:rPr>
        <w:t xml:space="preserve"> </w:t>
      </w:r>
      <w:r w:rsidR="009267FC" w:rsidRPr="0057255A">
        <w:rPr>
          <w:rFonts w:ascii="Times New Roman" w:eastAsiaTheme="minorHAnsi" w:hAnsi="Times New Roman"/>
          <w:b/>
          <w:sz w:val="24"/>
          <w:szCs w:val="24"/>
        </w:rPr>
        <w:t xml:space="preserve">Veselības nozares piešķirtie izdevumi </w:t>
      </w:r>
      <w:r w:rsidR="00716665">
        <w:rPr>
          <w:rFonts w:ascii="Times New Roman" w:eastAsiaTheme="minorHAnsi" w:hAnsi="Times New Roman"/>
          <w:b/>
          <w:sz w:val="24"/>
          <w:szCs w:val="24"/>
        </w:rPr>
        <w:t>JPI</w:t>
      </w:r>
      <w:r w:rsidR="009267FC" w:rsidRPr="0057255A">
        <w:rPr>
          <w:rFonts w:ascii="Times New Roman" w:eastAsiaTheme="minorHAnsi" w:hAnsi="Times New Roman"/>
          <w:b/>
          <w:sz w:val="24"/>
          <w:szCs w:val="24"/>
        </w:rPr>
        <w:t xml:space="preserve">, </w:t>
      </w:r>
      <w:r w:rsidR="00780B40">
        <w:rPr>
          <w:rFonts w:ascii="Times New Roman" w:eastAsiaTheme="minorHAnsi" w:hAnsi="Times New Roman"/>
          <w:b/>
          <w:sz w:val="24"/>
          <w:szCs w:val="24"/>
        </w:rPr>
        <w:t>milj</w:t>
      </w:r>
      <w:r w:rsidR="009267FC" w:rsidRPr="0057255A">
        <w:rPr>
          <w:rFonts w:ascii="Times New Roman" w:eastAsiaTheme="minorHAnsi" w:hAnsi="Times New Roman"/>
          <w:b/>
          <w:sz w:val="24"/>
          <w:szCs w:val="24"/>
        </w:rPr>
        <w:t xml:space="preserve">. </w:t>
      </w:r>
      <w:r w:rsidR="009267FC" w:rsidRPr="0057255A">
        <w:rPr>
          <w:rFonts w:ascii="Times New Roman" w:eastAsiaTheme="minorHAnsi" w:hAnsi="Times New Roman"/>
          <w:b/>
          <w:i/>
          <w:sz w:val="24"/>
          <w:szCs w:val="24"/>
        </w:rPr>
        <w:t>euro</w:t>
      </w:r>
    </w:p>
    <w:tbl>
      <w:tblPr>
        <w:tblStyle w:val="GridTable6ColorfulAccent1"/>
        <w:tblW w:w="9015" w:type="dxa"/>
        <w:jc w:val="center"/>
        <w:tblLayout w:type="fixed"/>
        <w:tblLook w:val="04A0" w:firstRow="1" w:lastRow="0" w:firstColumn="1" w:lastColumn="0" w:noHBand="0" w:noVBand="1"/>
      </w:tblPr>
      <w:tblGrid>
        <w:gridCol w:w="3833"/>
        <w:gridCol w:w="1295"/>
        <w:gridCol w:w="1296"/>
        <w:gridCol w:w="1295"/>
        <w:gridCol w:w="1296"/>
      </w:tblGrid>
      <w:tr w:rsidR="009267FC" w:rsidRPr="009267FC" w14:paraId="618F46AB" w14:textId="77777777" w:rsidTr="008055B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33" w:type="dxa"/>
            <w:noWrap/>
            <w:hideMark/>
          </w:tcPr>
          <w:p w14:paraId="61D4F64F" w14:textId="77777777" w:rsidR="009267FC" w:rsidRPr="009267FC" w:rsidRDefault="009267FC" w:rsidP="009267FC">
            <w:pPr>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 </w:t>
            </w:r>
          </w:p>
        </w:tc>
        <w:tc>
          <w:tcPr>
            <w:tcW w:w="1295" w:type="dxa"/>
            <w:noWrap/>
            <w:vAlign w:val="center"/>
            <w:hideMark/>
          </w:tcPr>
          <w:p w14:paraId="41FA2218" w14:textId="77777777" w:rsidR="009267FC" w:rsidRPr="002C10FB" w:rsidRDefault="009267FC" w:rsidP="002C10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2C10FB">
              <w:rPr>
                <w:rFonts w:ascii="Times New Roman" w:eastAsia="Times New Roman" w:hAnsi="Times New Roman" w:cs="Times New Roman"/>
                <w:bCs w:val="0"/>
                <w:color w:val="000000"/>
                <w:sz w:val="20"/>
                <w:szCs w:val="20"/>
                <w:lang w:eastAsia="lv-LV"/>
              </w:rPr>
              <w:t>2014</w:t>
            </w:r>
          </w:p>
        </w:tc>
        <w:tc>
          <w:tcPr>
            <w:tcW w:w="1296" w:type="dxa"/>
            <w:noWrap/>
            <w:vAlign w:val="center"/>
            <w:hideMark/>
          </w:tcPr>
          <w:p w14:paraId="33FAD40D" w14:textId="77777777" w:rsidR="009267FC" w:rsidRPr="002C10FB" w:rsidRDefault="009267FC" w:rsidP="002C10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2C10FB">
              <w:rPr>
                <w:rFonts w:ascii="Times New Roman" w:eastAsia="Times New Roman" w:hAnsi="Times New Roman" w:cs="Times New Roman"/>
                <w:bCs w:val="0"/>
                <w:color w:val="000000"/>
                <w:sz w:val="20"/>
                <w:szCs w:val="20"/>
                <w:lang w:eastAsia="lv-LV"/>
              </w:rPr>
              <w:t>2015</w:t>
            </w:r>
          </w:p>
        </w:tc>
        <w:tc>
          <w:tcPr>
            <w:tcW w:w="1295" w:type="dxa"/>
            <w:noWrap/>
            <w:vAlign w:val="center"/>
            <w:hideMark/>
          </w:tcPr>
          <w:p w14:paraId="38A5CEB0" w14:textId="77777777" w:rsidR="009267FC" w:rsidRPr="002C10FB" w:rsidRDefault="009267FC" w:rsidP="002C10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2C10FB">
              <w:rPr>
                <w:rFonts w:ascii="Times New Roman" w:eastAsia="Times New Roman" w:hAnsi="Times New Roman" w:cs="Times New Roman"/>
                <w:bCs w:val="0"/>
                <w:color w:val="000000"/>
                <w:sz w:val="20"/>
                <w:szCs w:val="20"/>
                <w:lang w:eastAsia="lv-LV"/>
              </w:rPr>
              <w:t>2016</w:t>
            </w:r>
          </w:p>
        </w:tc>
        <w:tc>
          <w:tcPr>
            <w:tcW w:w="1296" w:type="dxa"/>
            <w:noWrap/>
            <w:vAlign w:val="center"/>
            <w:hideMark/>
          </w:tcPr>
          <w:p w14:paraId="4BF71938" w14:textId="77777777" w:rsidR="009267FC" w:rsidRPr="002C10FB" w:rsidRDefault="009267FC" w:rsidP="002C10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lv-LV"/>
              </w:rPr>
            </w:pPr>
            <w:r w:rsidRPr="002C10FB">
              <w:rPr>
                <w:rFonts w:ascii="Times New Roman" w:eastAsia="Times New Roman" w:hAnsi="Times New Roman" w:cs="Times New Roman"/>
                <w:bCs w:val="0"/>
                <w:color w:val="000000"/>
                <w:sz w:val="20"/>
                <w:szCs w:val="20"/>
                <w:lang w:eastAsia="lv-LV"/>
              </w:rPr>
              <w:t>2017</w:t>
            </w:r>
          </w:p>
        </w:tc>
      </w:tr>
      <w:tr w:rsidR="009267FC" w:rsidRPr="009267FC" w14:paraId="0749FE0C" w14:textId="77777777" w:rsidTr="008055B0">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833" w:type="dxa"/>
            <w:noWrap/>
            <w:hideMark/>
          </w:tcPr>
          <w:p w14:paraId="5096F958" w14:textId="6CC20AC3" w:rsidR="009267FC" w:rsidRPr="002C10FB" w:rsidRDefault="009267FC" w:rsidP="00E42D7B">
            <w:pPr>
              <w:rPr>
                <w:rFonts w:ascii="Times New Roman" w:eastAsia="Times New Roman" w:hAnsi="Times New Roman" w:cs="Times New Roman"/>
                <w:b w:val="0"/>
                <w:color w:val="000000"/>
                <w:sz w:val="20"/>
                <w:szCs w:val="20"/>
                <w:lang w:eastAsia="lv-LV"/>
              </w:rPr>
            </w:pPr>
            <w:r w:rsidRPr="002C10FB">
              <w:rPr>
                <w:rFonts w:ascii="Times New Roman" w:eastAsia="Times New Roman" w:hAnsi="Times New Roman" w:cs="Times New Roman"/>
                <w:b w:val="0"/>
                <w:color w:val="000000"/>
                <w:sz w:val="20"/>
                <w:szCs w:val="20"/>
                <w:lang w:eastAsia="lv-LV"/>
              </w:rPr>
              <w:t>Ietvar</w:t>
            </w:r>
            <w:r w:rsidR="00E42D7B" w:rsidRPr="002C10FB">
              <w:rPr>
                <w:rFonts w:ascii="Times New Roman" w:eastAsia="Times New Roman" w:hAnsi="Times New Roman" w:cs="Times New Roman"/>
                <w:b w:val="0"/>
                <w:color w:val="000000"/>
                <w:sz w:val="20"/>
                <w:szCs w:val="20"/>
                <w:lang w:eastAsia="lv-LV"/>
              </w:rPr>
              <w:t>a likums</w:t>
            </w:r>
            <w:r w:rsidRPr="002C10FB">
              <w:rPr>
                <w:rFonts w:ascii="Times New Roman" w:eastAsia="Times New Roman" w:hAnsi="Times New Roman" w:cs="Times New Roman"/>
                <w:b w:val="0"/>
                <w:color w:val="000000"/>
                <w:sz w:val="20"/>
                <w:szCs w:val="20"/>
                <w:lang w:eastAsia="lv-LV"/>
              </w:rPr>
              <w:t xml:space="preserve"> 2014-2016</w:t>
            </w:r>
          </w:p>
        </w:tc>
        <w:tc>
          <w:tcPr>
            <w:tcW w:w="1295" w:type="dxa"/>
            <w:vAlign w:val="center"/>
            <w:hideMark/>
          </w:tcPr>
          <w:p w14:paraId="4AE87C09" w14:textId="77777777" w:rsidR="009267FC" w:rsidRPr="009267FC" w:rsidRDefault="009267FC"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42</w:t>
            </w:r>
          </w:p>
        </w:tc>
        <w:tc>
          <w:tcPr>
            <w:tcW w:w="1296" w:type="dxa"/>
            <w:noWrap/>
            <w:vAlign w:val="center"/>
            <w:hideMark/>
          </w:tcPr>
          <w:p w14:paraId="53EB41A8" w14:textId="77777777" w:rsidR="009267FC" w:rsidRPr="009267FC" w:rsidRDefault="009267FC"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48,9</w:t>
            </w:r>
          </w:p>
        </w:tc>
        <w:tc>
          <w:tcPr>
            <w:tcW w:w="1295" w:type="dxa"/>
            <w:noWrap/>
            <w:vAlign w:val="center"/>
            <w:hideMark/>
          </w:tcPr>
          <w:p w14:paraId="0342A273" w14:textId="77777777" w:rsidR="009267FC" w:rsidRPr="009267FC" w:rsidRDefault="009267FC"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51</w:t>
            </w:r>
          </w:p>
        </w:tc>
        <w:tc>
          <w:tcPr>
            <w:tcW w:w="1296" w:type="dxa"/>
            <w:noWrap/>
            <w:vAlign w:val="center"/>
            <w:hideMark/>
          </w:tcPr>
          <w:p w14:paraId="2E5ED624" w14:textId="77777777" w:rsidR="009267FC" w:rsidRPr="009267FC" w:rsidRDefault="009267FC"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w:t>
            </w:r>
          </w:p>
        </w:tc>
      </w:tr>
      <w:tr w:rsidR="009267FC" w:rsidRPr="009267FC" w14:paraId="0F08FD93" w14:textId="77777777" w:rsidTr="009944F6">
        <w:trPr>
          <w:trHeight w:val="369"/>
          <w:jc w:val="center"/>
        </w:trPr>
        <w:tc>
          <w:tcPr>
            <w:cnfStyle w:val="001000000000" w:firstRow="0" w:lastRow="0" w:firstColumn="1" w:lastColumn="0" w:oddVBand="0" w:evenVBand="0" w:oddHBand="0" w:evenHBand="0" w:firstRowFirstColumn="0" w:firstRowLastColumn="0" w:lastRowFirstColumn="0" w:lastRowLastColumn="0"/>
            <w:tcW w:w="3833" w:type="dxa"/>
            <w:noWrap/>
            <w:hideMark/>
          </w:tcPr>
          <w:p w14:paraId="3CA3CA1B" w14:textId="56F66501" w:rsidR="009267FC" w:rsidRPr="002C10FB" w:rsidRDefault="00E42D7B" w:rsidP="009267FC">
            <w:pPr>
              <w:rPr>
                <w:rFonts w:ascii="Times New Roman" w:eastAsia="Times New Roman" w:hAnsi="Times New Roman" w:cs="Times New Roman"/>
                <w:b w:val="0"/>
                <w:color w:val="000000"/>
                <w:sz w:val="20"/>
                <w:szCs w:val="20"/>
                <w:lang w:eastAsia="lv-LV"/>
              </w:rPr>
            </w:pPr>
            <w:r w:rsidRPr="002C10FB">
              <w:rPr>
                <w:rFonts w:ascii="Times New Roman" w:eastAsia="Times New Roman" w:hAnsi="Times New Roman" w:cs="Times New Roman"/>
                <w:b w:val="0"/>
                <w:color w:val="000000"/>
                <w:sz w:val="20"/>
                <w:szCs w:val="20"/>
                <w:lang w:eastAsia="lv-LV"/>
              </w:rPr>
              <w:t>Ietvara likums</w:t>
            </w:r>
            <w:r w:rsidR="009267FC" w:rsidRPr="002C10FB">
              <w:rPr>
                <w:rFonts w:ascii="Times New Roman" w:eastAsia="Times New Roman" w:hAnsi="Times New Roman" w:cs="Times New Roman"/>
                <w:b w:val="0"/>
                <w:color w:val="000000"/>
                <w:sz w:val="20"/>
                <w:szCs w:val="20"/>
                <w:lang w:eastAsia="lv-LV"/>
              </w:rPr>
              <w:t xml:space="preserve"> 2015-2017</w:t>
            </w:r>
          </w:p>
        </w:tc>
        <w:tc>
          <w:tcPr>
            <w:tcW w:w="1295" w:type="dxa"/>
            <w:noWrap/>
            <w:vAlign w:val="center"/>
            <w:hideMark/>
          </w:tcPr>
          <w:p w14:paraId="728D4D0A" w14:textId="77777777" w:rsidR="009267FC" w:rsidRPr="009267FC" w:rsidRDefault="009267FC"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w:t>
            </w:r>
          </w:p>
        </w:tc>
        <w:tc>
          <w:tcPr>
            <w:tcW w:w="1296" w:type="dxa"/>
            <w:noWrap/>
            <w:vAlign w:val="center"/>
            <w:hideMark/>
          </w:tcPr>
          <w:p w14:paraId="31D173AB" w14:textId="77777777" w:rsidR="009267FC" w:rsidRPr="009267FC" w:rsidRDefault="009267FC"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30,6</w:t>
            </w:r>
          </w:p>
        </w:tc>
        <w:tc>
          <w:tcPr>
            <w:tcW w:w="1295" w:type="dxa"/>
            <w:noWrap/>
            <w:vAlign w:val="center"/>
            <w:hideMark/>
          </w:tcPr>
          <w:p w14:paraId="4B4F247D" w14:textId="77777777" w:rsidR="009267FC" w:rsidRPr="009267FC" w:rsidRDefault="009267FC"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30,6</w:t>
            </w:r>
          </w:p>
        </w:tc>
        <w:tc>
          <w:tcPr>
            <w:tcW w:w="1296" w:type="dxa"/>
            <w:noWrap/>
            <w:vAlign w:val="center"/>
            <w:hideMark/>
          </w:tcPr>
          <w:p w14:paraId="3637A02F" w14:textId="77777777" w:rsidR="009267FC" w:rsidRPr="009267FC" w:rsidRDefault="009267FC"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30,6</w:t>
            </w:r>
          </w:p>
        </w:tc>
      </w:tr>
      <w:tr w:rsidR="009267FC" w:rsidRPr="009267FC" w14:paraId="5F55F3D5" w14:textId="77777777" w:rsidTr="008055B0">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3833" w:type="dxa"/>
            <w:noWrap/>
            <w:hideMark/>
          </w:tcPr>
          <w:p w14:paraId="66F4A35A" w14:textId="77777777" w:rsidR="009267FC" w:rsidRPr="002C10FB" w:rsidRDefault="009267FC" w:rsidP="009267FC">
            <w:pPr>
              <w:rPr>
                <w:rFonts w:ascii="Times New Roman" w:eastAsia="Times New Roman" w:hAnsi="Times New Roman" w:cs="Times New Roman"/>
                <w:b w:val="0"/>
                <w:color w:val="000000"/>
                <w:sz w:val="20"/>
                <w:szCs w:val="20"/>
                <w:lang w:eastAsia="lv-LV"/>
              </w:rPr>
            </w:pPr>
            <w:r w:rsidRPr="002C10FB">
              <w:rPr>
                <w:rFonts w:ascii="Times New Roman" w:eastAsia="Times New Roman" w:hAnsi="Times New Roman" w:cs="Times New Roman"/>
                <w:b w:val="0"/>
                <w:color w:val="000000"/>
                <w:sz w:val="20"/>
                <w:szCs w:val="20"/>
                <w:lang w:eastAsia="lv-LV"/>
              </w:rPr>
              <w:t>Papildus izdevumu palielinājums pret iepriekšējo gadu</w:t>
            </w:r>
          </w:p>
        </w:tc>
        <w:tc>
          <w:tcPr>
            <w:tcW w:w="1295" w:type="dxa"/>
            <w:noWrap/>
            <w:vAlign w:val="center"/>
            <w:hideMark/>
          </w:tcPr>
          <w:p w14:paraId="522BA151" w14:textId="77777777" w:rsidR="009267FC" w:rsidRPr="009267FC" w:rsidRDefault="009267FC"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42</w:t>
            </w:r>
          </w:p>
        </w:tc>
        <w:tc>
          <w:tcPr>
            <w:tcW w:w="1296" w:type="dxa"/>
            <w:noWrap/>
            <w:vAlign w:val="center"/>
            <w:hideMark/>
          </w:tcPr>
          <w:p w14:paraId="6ED8704C" w14:textId="77777777" w:rsidR="009267FC" w:rsidRPr="009267FC" w:rsidRDefault="009267FC"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37,5</w:t>
            </w:r>
          </w:p>
        </w:tc>
        <w:tc>
          <w:tcPr>
            <w:tcW w:w="1295" w:type="dxa"/>
            <w:noWrap/>
            <w:vAlign w:val="center"/>
            <w:hideMark/>
          </w:tcPr>
          <w:p w14:paraId="00590594" w14:textId="77777777" w:rsidR="009267FC" w:rsidRPr="009267FC" w:rsidRDefault="009267FC"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2,1</w:t>
            </w:r>
          </w:p>
        </w:tc>
        <w:tc>
          <w:tcPr>
            <w:tcW w:w="1296" w:type="dxa"/>
            <w:noWrap/>
            <w:vAlign w:val="center"/>
            <w:hideMark/>
          </w:tcPr>
          <w:p w14:paraId="7237BCE1" w14:textId="77777777" w:rsidR="009267FC" w:rsidRPr="009267FC" w:rsidRDefault="009267FC"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9267FC">
              <w:rPr>
                <w:rFonts w:ascii="Times New Roman" w:eastAsia="Times New Roman" w:hAnsi="Times New Roman" w:cs="Times New Roman"/>
                <w:color w:val="000000"/>
                <w:sz w:val="20"/>
                <w:szCs w:val="20"/>
                <w:lang w:eastAsia="lv-LV"/>
              </w:rPr>
              <w:t>-</w:t>
            </w:r>
          </w:p>
        </w:tc>
      </w:tr>
    </w:tbl>
    <w:p w14:paraId="5E90699F" w14:textId="63D07FA3" w:rsidR="0009609E" w:rsidRPr="0057255A" w:rsidRDefault="009267FC" w:rsidP="0057255A">
      <w:pPr>
        <w:spacing w:before="120" w:after="60" w:line="240" w:lineRule="auto"/>
        <w:ind w:firstLine="720"/>
        <w:jc w:val="both"/>
        <w:rPr>
          <w:rFonts w:ascii="Times New Roman" w:eastAsiaTheme="minorHAnsi" w:hAnsi="Times New Roman"/>
          <w:sz w:val="24"/>
          <w:szCs w:val="24"/>
        </w:rPr>
      </w:pPr>
      <w:r w:rsidRPr="009267FC">
        <w:rPr>
          <w:rFonts w:ascii="Times New Roman" w:eastAsiaTheme="minorHAnsi" w:hAnsi="Times New Roman"/>
          <w:sz w:val="24"/>
          <w:szCs w:val="24"/>
        </w:rPr>
        <w:t>Kā</w:t>
      </w:r>
      <w:r w:rsidR="00B51DE5">
        <w:rPr>
          <w:rFonts w:ascii="Times New Roman" w:eastAsiaTheme="minorHAnsi" w:hAnsi="Times New Roman"/>
          <w:sz w:val="24"/>
          <w:szCs w:val="24"/>
        </w:rPr>
        <w:t xml:space="preserve"> jau iepriekš tika minēts 2017.</w:t>
      </w:r>
      <w:r w:rsidRPr="009267FC">
        <w:rPr>
          <w:rFonts w:ascii="Times New Roman" w:eastAsiaTheme="minorHAnsi" w:hAnsi="Times New Roman"/>
          <w:sz w:val="24"/>
          <w:szCs w:val="24"/>
        </w:rPr>
        <w:t>gadā un 2018.gadā atbilstoši pašreizējam fiskālajam scenārijam ir pieejami papildus sadalāmie līdzekļi valdības prioritātēm. Lai gan lēmumi par turpmākiem izdevumu pasākumiem būtiskām tautsaimniecības nozarēm tiks pieņemti šī gada rudenī, proti, uz budžeta un vidēja termiņa ietvara sagatavošanu, vadoties no iepriekšējos gados piešķirtā papildus finansējuma, ar pietiekoši augstu varbūtību var paredzēt, ka veselības nozare būs viena no finansējuma saņēmējam, līdz ar to uzsāktais veselības noz</w:t>
      </w:r>
      <w:r w:rsidR="0057255A">
        <w:rPr>
          <w:rFonts w:ascii="Times New Roman" w:eastAsiaTheme="minorHAnsi" w:hAnsi="Times New Roman"/>
          <w:sz w:val="24"/>
          <w:szCs w:val="24"/>
        </w:rPr>
        <w:t>ares reformu kurss turpināsies.</w:t>
      </w:r>
    </w:p>
    <w:p w14:paraId="6530EEFF" w14:textId="77777777" w:rsidR="0009609E" w:rsidRPr="0057255A" w:rsidRDefault="0009609E" w:rsidP="0057255A">
      <w:pPr>
        <w:spacing w:before="320" w:after="120" w:line="240" w:lineRule="auto"/>
        <w:ind w:firstLine="720"/>
        <w:jc w:val="both"/>
        <w:rPr>
          <w:rFonts w:ascii="Times New Roman" w:eastAsia="Calibri" w:hAnsi="Times New Roman" w:cs="Times New Roman"/>
          <w:b/>
          <w:color w:val="000000"/>
          <w:sz w:val="24"/>
          <w:szCs w:val="24"/>
        </w:rPr>
      </w:pPr>
      <w:r w:rsidRPr="0057255A">
        <w:rPr>
          <w:rFonts w:ascii="Times New Roman" w:eastAsia="Calibri" w:hAnsi="Times New Roman" w:cs="Times New Roman"/>
          <w:b/>
          <w:color w:val="000000"/>
          <w:sz w:val="24"/>
          <w:szCs w:val="24"/>
        </w:rPr>
        <w:t>“Fiskālā telpa”</w:t>
      </w:r>
    </w:p>
    <w:p w14:paraId="149ACC91" w14:textId="77777777" w:rsidR="003B4685" w:rsidRPr="0009609E" w:rsidRDefault="003B4685" w:rsidP="003B4685">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Fiskālās prognozes rāda, ka vispārējās valdības budžeta deficīts, kas aprēķināts saskaņā ar augšupvērsto izdevumu plānošanas metodi un ietver  centrālās valdības izdevumus saskaņā ar apstiprinātajiem bāzes izdevumiem 2016.gadā (deficīts pie nemainīgas politikas)  ir lielāks par vispārējās valdības budžeta deficītu, kas aprēķināts saskaņā ar </w:t>
      </w:r>
      <w:r w:rsidRPr="0009609E">
        <w:rPr>
          <w:rFonts w:ascii="Times New Roman" w:eastAsia="Calibri" w:hAnsi="Times New Roman" w:cs="Times New Roman"/>
          <w:i/>
          <w:color w:val="000000"/>
          <w:sz w:val="24"/>
          <w:szCs w:val="20"/>
        </w:rPr>
        <w:t xml:space="preserve">lejupvērsto izdevumu plānošanas </w:t>
      </w:r>
      <w:r w:rsidRPr="0009609E">
        <w:rPr>
          <w:rFonts w:ascii="Times New Roman" w:eastAsia="Calibri" w:hAnsi="Times New Roman" w:cs="Times New Roman"/>
          <w:color w:val="000000"/>
          <w:sz w:val="24"/>
          <w:szCs w:val="24"/>
        </w:rPr>
        <w:t>pieeju (deficīts, kuru var atļauties saskaņā ar fiskālās disciplīnas nosacījumiem)</w:t>
      </w:r>
      <w:r w:rsidRPr="0009609E">
        <w:rPr>
          <w:rFonts w:ascii="Times New Roman" w:eastAsia="Calibri" w:hAnsi="Times New Roman" w:cs="Times New Roman"/>
          <w:color w:val="000000"/>
          <w:sz w:val="24"/>
          <w:szCs w:val="20"/>
        </w:rPr>
        <w:t>.</w:t>
      </w:r>
      <w:r w:rsidRPr="0009609E">
        <w:rPr>
          <w:rFonts w:ascii="Times New Roman" w:eastAsia="Calibri" w:hAnsi="Times New Roman" w:cs="Times New Roman"/>
          <w:color w:val="000000"/>
          <w:sz w:val="24"/>
          <w:szCs w:val="24"/>
        </w:rPr>
        <w:t xml:space="preserve"> Saskaņā ar pašreizējiem aprēķiniem šī starpība ir </w:t>
      </w:r>
      <w:r w:rsidRPr="0009609E">
        <w:rPr>
          <w:rFonts w:ascii="Times New Roman" w:eastAsia="Calibri" w:hAnsi="Times New Roman" w:cs="Times New Roman"/>
          <w:b/>
          <w:color w:val="000000"/>
          <w:sz w:val="24"/>
          <w:szCs w:val="24"/>
        </w:rPr>
        <w:t>-0,2% no IKP</w:t>
      </w:r>
      <w:r w:rsidRPr="0009609E">
        <w:rPr>
          <w:rFonts w:ascii="Times New Roman" w:eastAsia="Calibri" w:hAnsi="Times New Roman" w:cs="Times New Roman"/>
          <w:color w:val="000000"/>
          <w:sz w:val="24"/>
          <w:szCs w:val="24"/>
        </w:rPr>
        <w:t>, neņemot vērā FDL paredzēto fiskālā nodrošinājuma rezervi, kurai ir jābūt vismaz 0,1% no IKP apmērā</w:t>
      </w:r>
      <w:r>
        <w:rPr>
          <w:rFonts w:ascii="Times New Roman" w:eastAsia="Calibri" w:hAnsi="Times New Roman" w:cs="Times New Roman"/>
          <w:color w:val="000000"/>
          <w:sz w:val="24"/>
          <w:szCs w:val="24"/>
        </w:rPr>
        <w:t>.</w:t>
      </w:r>
      <w:r w:rsidRPr="0009609E">
        <w:rPr>
          <w:rFonts w:ascii="Times New Roman" w:eastAsia="Calibri" w:hAnsi="Times New Roman" w:cs="Times New Roman"/>
          <w:color w:val="000000"/>
          <w:sz w:val="24"/>
          <w:szCs w:val="24"/>
        </w:rPr>
        <w:t xml:space="preserve"> Līdz ar to, saskaņā ar fiskālās disciplīnas regulējumu, šī</w:t>
      </w:r>
      <w:r>
        <w:rPr>
          <w:rFonts w:ascii="Times New Roman" w:eastAsia="Calibri" w:hAnsi="Times New Roman" w:cs="Times New Roman"/>
          <w:color w:val="000000"/>
          <w:sz w:val="24"/>
          <w:szCs w:val="24"/>
        </w:rPr>
        <w:t xml:space="preserve"> gada rudenī, ja makroekonomiskās</w:t>
      </w:r>
      <w:r w:rsidRPr="0009609E">
        <w:rPr>
          <w:rFonts w:ascii="Times New Roman" w:eastAsia="Calibri" w:hAnsi="Times New Roman" w:cs="Times New Roman"/>
          <w:color w:val="000000"/>
          <w:sz w:val="24"/>
          <w:szCs w:val="24"/>
        </w:rPr>
        <w:t xml:space="preserve"> prognozes joprojām norādīs uz negatīvu fiskālo telpu, Latvijas valdība lems par atbilstošiem ieņēmumu vai izdevumu diskrecionārajiem pasāk</w:t>
      </w:r>
      <w:r>
        <w:rPr>
          <w:rFonts w:ascii="Times New Roman" w:eastAsia="Calibri" w:hAnsi="Times New Roman" w:cs="Times New Roman"/>
          <w:color w:val="000000"/>
          <w:sz w:val="24"/>
          <w:szCs w:val="24"/>
        </w:rPr>
        <w:t>umiem, lai šo plaisu likvidētu.</w:t>
      </w:r>
    </w:p>
    <w:p w14:paraId="11A6988A" w14:textId="77777777" w:rsidR="003B4685" w:rsidRPr="0057255A" w:rsidRDefault="003B4685" w:rsidP="003B4685">
      <w:pPr>
        <w:spacing w:after="60" w:line="240" w:lineRule="auto"/>
        <w:ind w:firstLine="720"/>
        <w:jc w:val="both"/>
        <w:rPr>
          <w:rFonts w:ascii="Times New Roman" w:eastAsia="Calibri" w:hAnsi="Times New Roman" w:cs="Times New Roman"/>
          <w:color w:val="000000"/>
          <w:sz w:val="24"/>
          <w:szCs w:val="24"/>
        </w:rPr>
      </w:pPr>
      <w:r w:rsidRPr="0009609E">
        <w:rPr>
          <w:rFonts w:ascii="Times New Roman" w:eastAsia="Calibri" w:hAnsi="Times New Roman" w:cs="Times New Roman"/>
          <w:color w:val="000000"/>
          <w:sz w:val="24"/>
          <w:szCs w:val="24"/>
        </w:rPr>
        <w:t xml:space="preserve">Savukārt 2017. un 2018.gadā vispārējās valdības budžeta deficīts, kas aprēķināts saskaņā ar augšupvērsto izdevumu plānošanas metodi  ir attiecīgi par </w:t>
      </w:r>
      <w:r w:rsidRPr="0009609E">
        <w:rPr>
          <w:rFonts w:ascii="Times New Roman" w:eastAsia="Calibri" w:hAnsi="Times New Roman" w:cs="Times New Roman"/>
          <w:b/>
          <w:color w:val="000000"/>
          <w:sz w:val="24"/>
          <w:szCs w:val="24"/>
        </w:rPr>
        <w:t>1,1% no IKP un 1,9% no IKP</w:t>
      </w:r>
      <w:r w:rsidRPr="0009609E">
        <w:rPr>
          <w:rFonts w:ascii="Times New Roman" w:eastAsia="Calibri" w:hAnsi="Times New Roman" w:cs="Times New Roman"/>
          <w:color w:val="000000"/>
          <w:sz w:val="24"/>
          <w:szCs w:val="24"/>
        </w:rPr>
        <w:t xml:space="preserve"> mazāks, kā to valsts var atļauties saskaņā ar lejupvērsto </w:t>
      </w:r>
      <w:r w:rsidRPr="0009609E">
        <w:rPr>
          <w:rFonts w:ascii="Times New Roman" w:eastAsia="Calibri" w:hAnsi="Times New Roman" w:cs="Times New Roman"/>
          <w:i/>
          <w:color w:val="000000"/>
          <w:sz w:val="24"/>
          <w:szCs w:val="20"/>
        </w:rPr>
        <w:t xml:space="preserve">izdevumu plānošanas </w:t>
      </w:r>
      <w:r w:rsidRPr="0009609E">
        <w:rPr>
          <w:rFonts w:ascii="Times New Roman" w:eastAsia="Calibri" w:hAnsi="Times New Roman" w:cs="Times New Roman"/>
          <w:color w:val="000000"/>
          <w:sz w:val="24"/>
          <w:szCs w:val="24"/>
        </w:rPr>
        <w:t>pieeju, jeb, citiem vārdiem sakot, fiskālā telpa ir pozitīva. Saskaņā ar FDL noteikumiem fiskālo telpu 2017. un 2018.gadā var izmantot, plānojot jaunus izdevumu politikas pasākumus, kas iekļaujami kādā no</w:t>
      </w:r>
      <w:r>
        <w:rPr>
          <w:rFonts w:ascii="Times New Roman" w:eastAsia="Calibri" w:hAnsi="Times New Roman" w:cs="Times New Roman"/>
          <w:color w:val="000000"/>
          <w:sz w:val="24"/>
          <w:szCs w:val="24"/>
        </w:rPr>
        <w:t xml:space="preserve"> turpmākajiem Ietvaru likumiem.</w:t>
      </w:r>
    </w:p>
    <w:p w14:paraId="5449131D" w14:textId="434AE41F" w:rsidR="0009609E" w:rsidRPr="0057255A" w:rsidRDefault="0009609E" w:rsidP="0057255A">
      <w:pPr>
        <w:spacing w:before="320" w:after="120" w:line="240" w:lineRule="auto"/>
        <w:ind w:firstLine="720"/>
        <w:jc w:val="both"/>
        <w:rPr>
          <w:rFonts w:ascii="Times New Roman" w:eastAsia="Calibri" w:hAnsi="Times New Roman" w:cs="Times New Roman"/>
          <w:b/>
          <w:color w:val="000000"/>
          <w:sz w:val="24"/>
          <w:szCs w:val="24"/>
        </w:rPr>
      </w:pPr>
      <w:r w:rsidRPr="0057255A">
        <w:rPr>
          <w:rFonts w:ascii="Times New Roman" w:eastAsia="Calibri" w:hAnsi="Times New Roman" w:cs="Times New Roman"/>
          <w:b/>
          <w:color w:val="000000"/>
          <w:sz w:val="24"/>
          <w:szCs w:val="24"/>
        </w:rPr>
        <w:t>Vidēja termiņa fiskālais plāns un</w:t>
      </w:r>
      <w:r w:rsidR="00CC6037" w:rsidRPr="0057255A">
        <w:rPr>
          <w:rFonts w:ascii="Times New Roman" w:eastAsia="Calibri" w:hAnsi="Times New Roman" w:cs="Times New Roman"/>
          <w:b/>
          <w:color w:val="000000"/>
          <w:sz w:val="24"/>
          <w:szCs w:val="24"/>
        </w:rPr>
        <w:t xml:space="preserve"> vidēja termiņa budžeta ietvars</w:t>
      </w:r>
    </w:p>
    <w:p w14:paraId="4F23FBE5" w14:textId="6CE01C46" w:rsidR="0009609E" w:rsidRPr="00CC6037" w:rsidRDefault="0009609E" w:rsidP="00CC6037">
      <w:pPr>
        <w:spacing w:after="60" w:line="240" w:lineRule="auto"/>
        <w:ind w:firstLine="720"/>
        <w:jc w:val="both"/>
        <w:rPr>
          <w:rFonts w:ascii="Times New Roman" w:eastAsia="Calibri" w:hAnsi="Times New Roman" w:cs="Times New Roman"/>
          <w:color w:val="000000"/>
          <w:sz w:val="24"/>
          <w:szCs w:val="24"/>
        </w:rPr>
      </w:pPr>
      <w:r w:rsidRPr="00CC6037">
        <w:rPr>
          <w:rFonts w:ascii="Times New Roman" w:eastAsia="Calibri" w:hAnsi="Times New Roman" w:cs="Times New Roman"/>
          <w:color w:val="000000"/>
          <w:sz w:val="24"/>
          <w:szCs w:val="24"/>
        </w:rPr>
        <w:t>Vidēja termiņa fiskālais plāns Eiropas Parlamenta un P</w:t>
      </w:r>
      <w:r w:rsidR="00CC6037">
        <w:rPr>
          <w:rFonts w:ascii="Times New Roman" w:eastAsia="Calibri" w:hAnsi="Times New Roman" w:cs="Times New Roman"/>
          <w:color w:val="000000"/>
          <w:sz w:val="24"/>
          <w:szCs w:val="24"/>
        </w:rPr>
        <w:t>adomes Regula (ES) Nr. 473/2013</w:t>
      </w:r>
      <w:r w:rsidRPr="00CC6037">
        <w:rPr>
          <w:rFonts w:ascii="Times New Roman" w:eastAsia="Calibri" w:hAnsi="Times New Roman" w:cs="Times New Roman"/>
          <w:color w:val="000000"/>
          <w:sz w:val="24"/>
          <w:szCs w:val="24"/>
        </w:rPr>
        <w:t xml:space="preserve"> </w:t>
      </w:r>
      <w:r w:rsidRPr="00CC6037">
        <w:rPr>
          <w:rFonts w:ascii="Times New Roman" w:eastAsia="Calibri" w:hAnsi="Times New Roman" w:cs="Times New Roman"/>
          <w:i/>
          <w:color w:val="000000"/>
          <w:sz w:val="24"/>
          <w:szCs w:val="24"/>
        </w:rPr>
        <w:t>Par kopīgiem noteikumiem budžeta plānu projektu uzraudzībai un novērtēšanai un pārmērīga budžeta deficīta novēršanai euro</w:t>
      </w:r>
      <w:r w:rsidR="00CC6037">
        <w:rPr>
          <w:rFonts w:ascii="Times New Roman" w:eastAsia="Calibri" w:hAnsi="Times New Roman" w:cs="Times New Roman"/>
          <w:i/>
          <w:color w:val="000000"/>
          <w:sz w:val="24"/>
          <w:szCs w:val="24"/>
        </w:rPr>
        <w:t xml:space="preserve"> </w:t>
      </w:r>
      <w:r w:rsidRPr="00CC6037">
        <w:rPr>
          <w:rFonts w:ascii="Times New Roman" w:eastAsia="Calibri" w:hAnsi="Times New Roman" w:cs="Times New Roman"/>
          <w:i/>
          <w:color w:val="000000"/>
          <w:sz w:val="24"/>
          <w:szCs w:val="24"/>
        </w:rPr>
        <w:t>zonas dalībvalstīs</w:t>
      </w:r>
      <w:r w:rsidRPr="00CC6037">
        <w:rPr>
          <w:rFonts w:ascii="Times New Roman" w:eastAsia="Calibri" w:hAnsi="Times New Roman" w:cs="Times New Roman"/>
          <w:color w:val="000000"/>
          <w:sz w:val="24"/>
          <w:szCs w:val="24"/>
        </w:rPr>
        <w:t xml:space="preserve"> izpratn</w:t>
      </w:r>
      <w:r w:rsidR="00CC6037">
        <w:rPr>
          <w:rFonts w:ascii="Times New Roman" w:eastAsia="Calibri" w:hAnsi="Times New Roman" w:cs="Times New Roman"/>
          <w:color w:val="000000"/>
          <w:sz w:val="24"/>
          <w:szCs w:val="24"/>
        </w:rPr>
        <w:t>ē ir šī Stabilitātes programma.</w:t>
      </w:r>
    </w:p>
    <w:p w14:paraId="30CCBA08" w14:textId="54DF45D7" w:rsidR="003F7B43" w:rsidRDefault="0009609E" w:rsidP="003F7B43">
      <w:pPr>
        <w:spacing w:after="60" w:line="240" w:lineRule="auto"/>
        <w:ind w:firstLine="720"/>
        <w:jc w:val="both"/>
        <w:rPr>
          <w:rFonts w:ascii="Times New Roman" w:eastAsia="Calibri" w:hAnsi="Times New Roman" w:cs="Times New Roman"/>
          <w:color w:val="000000"/>
          <w:sz w:val="24"/>
          <w:szCs w:val="24"/>
        </w:rPr>
      </w:pPr>
      <w:r w:rsidRPr="00CC6037">
        <w:rPr>
          <w:rFonts w:ascii="Times New Roman" w:eastAsia="Calibri" w:hAnsi="Times New Roman" w:cs="Times New Roman"/>
          <w:color w:val="000000"/>
          <w:sz w:val="24"/>
          <w:szCs w:val="24"/>
        </w:rPr>
        <w:t xml:space="preserve">Vidēja termiņa budžeta ietvars šīs pašas regulas izpratnē ir jaunākais </w:t>
      </w:r>
      <w:r w:rsidR="00E42D7B">
        <w:rPr>
          <w:rFonts w:ascii="Times New Roman" w:eastAsia="Calibri" w:hAnsi="Times New Roman" w:cs="Times New Roman"/>
          <w:color w:val="000000"/>
          <w:sz w:val="24"/>
          <w:szCs w:val="24"/>
        </w:rPr>
        <w:t>I</w:t>
      </w:r>
      <w:r w:rsidRPr="00CC6037">
        <w:rPr>
          <w:rFonts w:ascii="Times New Roman" w:eastAsia="Calibri" w:hAnsi="Times New Roman" w:cs="Times New Roman"/>
          <w:color w:val="000000"/>
          <w:sz w:val="24"/>
          <w:szCs w:val="24"/>
        </w:rPr>
        <w:t xml:space="preserve">etvara likums </w:t>
      </w:r>
      <w:r w:rsidR="00E42D7B">
        <w:rPr>
          <w:rFonts w:ascii="Times New Roman" w:eastAsia="Calibri" w:hAnsi="Times New Roman" w:cs="Times New Roman"/>
          <w:color w:val="000000"/>
          <w:sz w:val="24"/>
          <w:szCs w:val="24"/>
        </w:rPr>
        <w:t>FDL</w:t>
      </w:r>
      <w:r w:rsidRPr="00CC6037">
        <w:rPr>
          <w:rFonts w:ascii="Times New Roman" w:eastAsia="Calibri" w:hAnsi="Times New Roman" w:cs="Times New Roman"/>
          <w:color w:val="000000"/>
          <w:sz w:val="24"/>
          <w:szCs w:val="24"/>
        </w:rPr>
        <w:t xml:space="preserve"> izpratnē.</w:t>
      </w:r>
    </w:p>
    <w:p w14:paraId="367F5449" w14:textId="77777777" w:rsidR="00A34463" w:rsidRPr="00F51615" w:rsidRDefault="00A34463" w:rsidP="003F7B43">
      <w:pPr>
        <w:pStyle w:val="Heading2"/>
        <w:numPr>
          <w:ilvl w:val="1"/>
          <w:numId w:val="1"/>
        </w:numPr>
        <w:spacing w:before="320" w:after="120"/>
        <w:ind w:left="709"/>
        <w:rPr>
          <w:rFonts w:ascii="Times New Roman" w:hAnsi="Times New Roman" w:cs="Times New Roman"/>
          <w:sz w:val="24"/>
        </w:rPr>
      </w:pPr>
      <w:bookmarkStart w:id="9" w:name="_Toc416279070"/>
      <w:r w:rsidRPr="00F51615">
        <w:rPr>
          <w:rFonts w:ascii="Times New Roman" w:hAnsi="Times New Roman" w:cs="Times New Roman"/>
          <w:sz w:val="24"/>
        </w:rPr>
        <w:t>Fiskālās attīstības scenārijs</w:t>
      </w:r>
      <w:bookmarkEnd w:id="9"/>
    </w:p>
    <w:p w14:paraId="307E3B81" w14:textId="14C214C8" w:rsidR="003B4685" w:rsidRPr="003B4685" w:rsidRDefault="003B4685" w:rsidP="003B4685">
      <w:pPr>
        <w:spacing w:after="60" w:line="240" w:lineRule="auto"/>
        <w:ind w:firstLine="720"/>
        <w:jc w:val="both"/>
        <w:rPr>
          <w:rFonts w:ascii="Times New Roman" w:hAnsi="Times New Roman"/>
          <w:color w:val="000000"/>
          <w:sz w:val="24"/>
          <w:szCs w:val="24"/>
        </w:rPr>
      </w:pPr>
      <w:r w:rsidRPr="003B4685">
        <w:rPr>
          <w:rFonts w:ascii="Times New Roman" w:hAnsi="Times New Roman"/>
          <w:color w:val="000000"/>
          <w:sz w:val="24"/>
          <w:szCs w:val="24"/>
        </w:rPr>
        <w:t>Fiskālās attīstības scenārijs vidējam termiņam ir veidots, ņemot par pamatu strukturālās vispārējās valdības budžeta bilances mērķus, paredzamos vienreizēj</w:t>
      </w:r>
      <w:r w:rsidR="00A142DE">
        <w:rPr>
          <w:rFonts w:ascii="Times New Roman" w:hAnsi="Times New Roman"/>
          <w:color w:val="000000"/>
          <w:sz w:val="24"/>
          <w:szCs w:val="24"/>
        </w:rPr>
        <w:t>o</w:t>
      </w:r>
      <w:r w:rsidRPr="003B4685">
        <w:rPr>
          <w:rFonts w:ascii="Times New Roman" w:hAnsi="Times New Roman"/>
          <w:color w:val="000000"/>
          <w:sz w:val="24"/>
          <w:szCs w:val="24"/>
        </w:rPr>
        <w:t>s (</w:t>
      </w:r>
      <w:r w:rsidRPr="003B4685">
        <w:rPr>
          <w:rFonts w:ascii="Times New Roman" w:hAnsi="Times New Roman"/>
          <w:i/>
          <w:noProof/>
          <w:color w:val="000000"/>
          <w:sz w:val="24"/>
          <w:szCs w:val="24"/>
        </w:rPr>
        <w:t>one-off)</w:t>
      </w:r>
      <w:r w:rsidRPr="003B4685">
        <w:rPr>
          <w:rFonts w:ascii="Times New Roman" w:hAnsi="Times New Roman"/>
          <w:color w:val="000000"/>
          <w:sz w:val="24"/>
          <w:szCs w:val="24"/>
        </w:rPr>
        <w:t xml:space="preserve"> pasākumus un ievērojot budžeta bilances ciklisko komponenti atbilstoši </w:t>
      </w:r>
      <w:r w:rsidRPr="003B4685">
        <w:rPr>
          <w:rFonts w:ascii="Times New Roman" w:eastAsia="Calibri" w:hAnsi="Times New Roman" w:cs="Times New Roman"/>
          <w:color w:val="000000"/>
          <w:sz w:val="24"/>
          <w:szCs w:val="24"/>
        </w:rPr>
        <w:t>makroekonomiskajam</w:t>
      </w:r>
      <w:r w:rsidRPr="003B4685">
        <w:rPr>
          <w:rFonts w:ascii="Times New Roman" w:hAnsi="Times New Roman"/>
          <w:color w:val="000000"/>
          <w:sz w:val="24"/>
          <w:szCs w:val="24"/>
        </w:rPr>
        <w:t xml:space="preserve"> scenārijam. Salīdzinājumā ar straujās ekonomiskās izaugsmes un lejupslīdes gadiem, kad bilances cikliskā komponente, ņemot vērā būtiskas svārstības ekonomikā, bija ievērojama, 2015. un 2016.gadā bilances cikliskā komponente tiek prognozēta -0,1% no IKP, bet 2017. un 2018.gadā tā ir nulle. Savukārt, kā vienreizējs pasākums vidējā termiņā tiek plānots straujāks nekā šobrīd noteikts Valsts aizsardzības finansēšanas likumā izdevumu palielinājums aizsardzībai, ņemot vērā ģeopolitisko situāciju. </w:t>
      </w:r>
      <w:r w:rsidRPr="003B4685">
        <w:rPr>
          <w:rFonts w:ascii="Times New Roman" w:hAnsi="Times New Roman"/>
          <w:noProof/>
          <w:color w:val="000000"/>
          <w:sz w:val="24"/>
          <w:szCs w:val="24"/>
        </w:rPr>
        <w:t xml:space="preserve">Vienreizējo </w:t>
      </w:r>
      <w:r w:rsidRPr="003B4685">
        <w:rPr>
          <w:rFonts w:ascii="Times New Roman" w:hAnsi="Times New Roman"/>
          <w:color w:val="000000"/>
          <w:sz w:val="24"/>
          <w:szCs w:val="24"/>
        </w:rPr>
        <w:t>izdevumu apmērs tiek noteikts 2016.gadā 0,3% no IKP, 2017.gadā 0,4% no IKP un 2018.gadā 0,5% no IKP.</w:t>
      </w:r>
    </w:p>
    <w:p w14:paraId="26B12EC9" w14:textId="77777777" w:rsidR="00E773FD" w:rsidRDefault="00E773FD" w:rsidP="00E773FD">
      <w:pPr>
        <w:pStyle w:val="teksts"/>
        <w:spacing w:line="276" w:lineRule="auto"/>
        <w:ind w:firstLine="720"/>
        <w:jc w:val="center"/>
        <w:rPr>
          <w:rFonts w:ascii="Times New Roman" w:eastAsiaTheme="minorHAnsi" w:hAnsi="Times New Roman"/>
          <w:szCs w:val="24"/>
        </w:rPr>
      </w:pPr>
      <w:r w:rsidRPr="00D25769">
        <w:rPr>
          <w:noProof/>
          <w:lang w:eastAsia="lv-LV"/>
        </w:rPr>
        <w:drawing>
          <wp:inline distT="0" distB="0" distL="0" distR="0" wp14:anchorId="085FC0DE" wp14:editId="314ED455">
            <wp:extent cx="4410075" cy="24479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5CADF5" w14:textId="34E7DC4B" w:rsidR="00E773FD" w:rsidRPr="002D6792" w:rsidRDefault="00142A2C" w:rsidP="00142A2C">
      <w:pPr>
        <w:pStyle w:val="teksts"/>
        <w:spacing w:before="120"/>
        <w:ind w:firstLine="720"/>
        <w:jc w:val="center"/>
        <w:rPr>
          <w:rFonts w:ascii="Times New Roman" w:eastAsia="Calibri" w:hAnsi="Times New Roman"/>
          <w:b/>
          <w:szCs w:val="24"/>
        </w:rPr>
      </w:pPr>
      <w:r>
        <w:rPr>
          <w:rFonts w:ascii="Times New Roman" w:eastAsia="Calibri" w:hAnsi="Times New Roman"/>
          <w:b/>
          <w:szCs w:val="24"/>
        </w:rPr>
        <w:t>3.6.</w:t>
      </w:r>
      <w:r w:rsidR="00E773FD" w:rsidRPr="002D6792">
        <w:rPr>
          <w:rFonts w:ascii="Times New Roman" w:eastAsia="Calibri" w:hAnsi="Times New Roman"/>
          <w:b/>
          <w:szCs w:val="24"/>
        </w:rPr>
        <w:t>att</w:t>
      </w:r>
      <w:r>
        <w:rPr>
          <w:rFonts w:ascii="Times New Roman" w:eastAsia="Calibri" w:hAnsi="Times New Roman"/>
          <w:b/>
          <w:szCs w:val="24"/>
        </w:rPr>
        <w:t>ēls</w:t>
      </w:r>
      <w:r w:rsidR="00E773FD" w:rsidRPr="002D6792">
        <w:rPr>
          <w:rFonts w:ascii="Times New Roman" w:eastAsia="Calibri" w:hAnsi="Times New Roman"/>
          <w:b/>
          <w:szCs w:val="24"/>
        </w:rPr>
        <w:t>. Vispārējās valdības budžeta bilance sadalījumā pa komponentēm</w:t>
      </w:r>
      <w:r w:rsidR="00E773FD" w:rsidRPr="002D6792">
        <w:rPr>
          <w:rStyle w:val="FootnoteReference"/>
          <w:rFonts w:ascii="Times New Roman" w:eastAsia="Calibri" w:hAnsi="Times New Roman"/>
          <w:b/>
          <w:szCs w:val="24"/>
        </w:rPr>
        <w:footnoteReference w:id="17"/>
      </w:r>
      <w:r w:rsidR="00E773FD" w:rsidRPr="002D6792">
        <w:rPr>
          <w:rFonts w:ascii="Times New Roman" w:eastAsia="Calibri" w:hAnsi="Times New Roman"/>
          <w:b/>
          <w:szCs w:val="24"/>
        </w:rPr>
        <w:t>, % no IKP</w:t>
      </w:r>
    </w:p>
    <w:p w14:paraId="4625FDEB" w14:textId="77777777" w:rsidR="003B4685" w:rsidRDefault="003B4685" w:rsidP="005812B4">
      <w:pPr>
        <w:spacing w:after="60" w:line="240" w:lineRule="auto"/>
        <w:ind w:firstLine="720"/>
        <w:jc w:val="both"/>
        <w:rPr>
          <w:color w:val="000000"/>
        </w:rPr>
      </w:pPr>
      <w:r w:rsidRPr="00E773FD">
        <w:rPr>
          <w:rFonts w:ascii="Times New Roman" w:eastAsia="Times New Roman" w:hAnsi="Times New Roman" w:cs="Times New Roman"/>
          <w:color w:val="000000"/>
          <w:sz w:val="24"/>
          <w:szCs w:val="20"/>
        </w:rPr>
        <w:t>Lai izstrādātu vispārējās valdības budžeta bilances prognozes vidējam termiņam, tika sagatavots scenārijs pie nemainīgas valdības politikas, kas tika balstīts uz aktualizētām ieņēmumu prognozēm atbilstoši jaunākajam makroekonomiskās attīstības scenārijam un apstip</w:t>
      </w:r>
      <w:r w:rsidRPr="00E773FD">
        <w:rPr>
          <w:rFonts w:ascii="Times New Roman" w:eastAsia="Times New Roman" w:hAnsi="Times New Roman" w:cs="Times New Roman"/>
          <w:color w:val="000000"/>
          <w:sz w:val="24"/>
          <w:szCs w:val="24"/>
        </w:rPr>
        <w:t>rinātajiem valsts budžeta bāzes izdevumiem turpmākajiem trim gadiem.</w:t>
      </w:r>
      <w:r w:rsidRPr="00E773FD">
        <w:rPr>
          <w:rFonts w:ascii="Times New Roman" w:hAnsi="Times New Roman" w:cs="Times New Roman"/>
          <w:color w:val="000000"/>
          <w:sz w:val="24"/>
          <w:szCs w:val="24"/>
        </w:rPr>
        <w:t xml:space="preserve"> </w:t>
      </w:r>
      <w:r w:rsidRPr="006C0DD7">
        <w:rPr>
          <w:rFonts w:ascii="Times New Roman" w:hAnsi="Times New Roman" w:cs="Times New Roman"/>
          <w:color w:val="000000"/>
          <w:sz w:val="24"/>
          <w:szCs w:val="24"/>
        </w:rPr>
        <w:t xml:space="preserve">Scenārijā pie nemainīgas politikas ir iekļauts valdības nodoms par straujāku finansējuma palielināšanu aizsardzībai, nodrošinot šos izdevumus 2016.gadā 1,4% no IKP, 2017.gadā 1,7% no IKP un 2018.gadā 2% no IKP apmērā. </w:t>
      </w:r>
      <w:r w:rsidRPr="006C0DD7">
        <w:rPr>
          <w:rFonts w:ascii="Times New Roman" w:eastAsia="Times New Roman" w:hAnsi="Times New Roman" w:cs="Times New Roman"/>
          <w:color w:val="000000"/>
          <w:sz w:val="24"/>
          <w:szCs w:val="20"/>
        </w:rPr>
        <w:t>Scenārijā pie nemainīgas politikas 2016.gadā visp</w:t>
      </w:r>
      <w:r w:rsidRPr="00E773FD">
        <w:rPr>
          <w:rFonts w:ascii="Times New Roman" w:eastAsia="Times New Roman" w:hAnsi="Times New Roman" w:cs="Times New Roman"/>
          <w:color w:val="000000"/>
          <w:sz w:val="24"/>
          <w:szCs w:val="20"/>
        </w:rPr>
        <w:t>ārējās valdības budžeta deficīts būtu 1,6% no IKP, 2017.gadā 0,2% no IKP, savukārt, 2018.gadā veidotos budžeta pārpalikums 0,2% no IKP.</w:t>
      </w:r>
    </w:p>
    <w:p w14:paraId="51E69A01" w14:textId="77777777" w:rsidR="000B76F4" w:rsidRDefault="000B76F4" w:rsidP="005812B4">
      <w:pPr>
        <w:pStyle w:val="teksts"/>
        <w:spacing w:after="60"/>
        <w:ind w:firstLine="720"/>
        <w:rPr>
          <w:rFonts w:ascii="Times New Roman" w:hAnsi="Times New Roman"/>
          <w:color w:val="000000"/>
        </w:rPr>
      </w:pPr>
      <w:r w:rsidRPr="00E773FD">
        <w:rPr>
          <w:rFonts w:ascii="Times New Roman" w:hAnsi="Times New Roman"/>
          <w:color w:val="000000"/>
        </w:rPr>
        <w:t>Tā kā budžeta bilances mērķi pieļauj</w:t>
      </w:r>
      <w:r>
        <w:rPr>
          <w:rFonts w:ascii="Times New Roman" w:hAnsi="Times New Roman"/>
          <w:color w:val="000000"/>
        </w:rPr>
        <w:t xml:space="preserve"> lielāku deficītu</w:t>
      </w:r>
      <w:r w:rsidRPr="00E773FD">
        <w:rPr>
          <w:rFonts w:ascii="Times New Roman" w:hAnsi="Times New Roman"/>
          <w:color w:val="000000"/>
        </w:rPr>
        <w:t xml:space="preserve"> vispārējās valdības budžetā 2017. un 2018.gadā</w:t>
      </w:r>
      <w:r>
        <w:rPr>
          <w:rFonts w:ascii="Times New Roman" w:hAnsi="Times New Roman"/>
          <w:color w:val="000000"/>
        </w:rPr>
        <w:t xml:space="preserve"> nekā nemainīgas politikas scenārijs</w:t>
      </w:r>
      <w:r w:rsidRPr="00E773FD">
        <w:rPr>
          <w:rFonts w:ascii="Times New Roman" w:hAnsi="Times New Roman"/>
          <w:color w:val="000000"/>
        </w:rPr>
        <w:t>, tiek pieņemts, ka visa izveidojusies</w:t>
      </w:r>
      <w:r>
        <w:rPr>
          <w:rFonts w:ascii="Times New Roman" w:hAnsi="Times New Roman"/>
          <w:color w:val="000000"/>
        </w:rPr>
        <w:t xml:space="preserve"> pozitīvā</w:t>
      </w:r>
      <w:r w:rsidRPr="00E773FD">
        <w:rPr>
          <w:rFonts w:ascii="Times New Roman" w:hAnsi="Times New Roman"/>
          <w:color w:val="000000"/>
        </w:rPr>
        <w:t xml:space="preserve"> starpība jeb fiskālā telpa (2017.gadā telpa ir 1,1% no IKP, 2018.gadā 1,9% no IKP apjomā) tie</w:t>
      </w:r>
      <w:r>
        <w:rPr>
          <w:rFonts w:ascii="Times New Roman" w:hAnsi="Times New Roman"/>
          <w:color w:val="000000"/>
        </w:rPr>
        <w:t>k izmantota papildus izdevumiem.</w:t>
      </w:r>
      <w:r w:rsidRPr="00E773FD">
        <w:rPr>
          <w:rFonts w:ascii="Times New Roman" w:hAnsi="Times New Roman"/>
          <w:color w:val="000000"/>
        </w:rPr>
        <w:t xml:space="preserve"> </w:t>
      </w:r>
      <w:r>
        <w:rPr>
          <w:rFonts w:ascii="Times New Roman" w:hAnsi="Times New Roman"/>
          <w:color w:val="000000"/>
        </w:rPr>
        <w:t>B</w:t>
      </w:r>
      <w:r w:rsidRPr="00E773FD">
        <w:rPr>
          <w:rFonts w:ascii="Times New Roman" w:hAnsi="Times New Roman"/>
          <w:color w:val="000000"/>
        </w:rPr>
        <w:t>et tā kā nav pieņemti</w:t>
      </w:r>
      <w:r>
        <w:rPr>
          <w:rFonts w:ascii="Times New Roman" w:hAnsi="Times New Roman"/>
          <w:color w:val="000000"/>
        </w:rPr>
        <w:t xml:space="preserve"> politiski</w:t>
      </w:r>
      <w:r w:rsidRPr="00E773FD">
        <w:rPr>
          <w:rFonts w:ascii="Times New Roman" w:hAnsi="Times New Roman"/>
          <w:color w:val="000000"/>
        </w:rPr>
        <w:t xml:space="preserve"> lēmumi par šīs starpības sadalījumu (lēmumi tiks pieņemti rudenī kārtējā </w:t>
      </w:r>
      <w:r>
        <w:rPr>
          <w:rFonts w:ascii="Times New Roman" w:hAnsi="Times New Roman"/>
          <w:color w:val="000000"/>
        </w:rPr>
        <w:t>V</w:t>
      </w:r>
      <w:r w:rsidRPr="00E773FD">
        <w:rPr>
          <w:rFonts w:ascii="Times New Roman" w:hAnsi="Times New Roman"/>
          <w:color w:val="000000"/>
        </w:rPr>
        <w:t>idējā termiņa budžeta ietvara sagatavošanas laikā</w:t>
      </w:r>
      <w:r w:rsidRPr="0041584E">
        <w:rPr>
          <w:rFonts w:ascii="Times New Roman" w:hAnsi="Times New Roman"/>
          <w:color w:val="000000"/>
        </w:rPr>
        <w:t xml:space="preserve">), </w:t>
      </w:r>
      <w:r w:rsidRPr="004809D0">
        <w:rPr>
          <w:rFonts w:ascii="Times New Roman" w:hAnsi="Times New Roman"/>
          <w:color w:val="000000"/>
        </w:rPr>
        <w:t>tiek pieņemts, ka tā tiek sadalīta proporcionāli pa izdevumu kategorijām attiecīgajos gados, par pam</w:t>
      </w:r>
      <w:r>
        <w:rPr>
          <w:rFonts w:ascii="Times New Roman" w:hAnsi="Times New Roman"/>
          <w:color w:val="000000"/>
        </w:rPr>
        <w:t>atu pieņemot atsevišķu izdevumu kategoriju proporciju pret kopējiem izdevumiem</w:t>
      </w:r>
      <w:r w:rsidRPr="004809D0">
        <w:rPr>
          <w:rFonts w:ascii="Times New Roman" w:hAnsi="Times New Roman"/>
          <w:color w:val="000000"/>
        </w:rPr>
        <w:t xml:space="preserve"> pie nemainīgas politikas scenārija</w:t>
      </w:r>
      <w:r>
        <w:rPr>
          <w:rFonts w:ascii="Times New Roman" w:hAnsi="Times New Roman"/>
          <w:color w:val="000000"/>
        </w:rPr>
        <w:t xml:space="preserve">. Aprēķinot atsevišķu izdevumu kategoriju proporciju pret kopējiem izdevumiem pie nemainīgas politikas scenārija, no aprēķina tiek izslēgtas </w:t>
      </w:r>
      <w:r w:rsidRPr="004809D0">
        <w:rPr>
          <w:rFonts w:ascii="Times New Roman" w:hAnsi="Times New Roman"/>
          <w:color w:val="000000"/>
        </w:rPr>
        <w:t>sekojoš</w:t>
      </w:r>
      <w:r>
        <w:rPr>
          <w:rFonts w:ascii="Times New Roman" w:hAnsi="Times New Roman"/>
          <w:color w:val="000000"/>
        </w:rPr>
        <w:t>as izdevumu kategorijas</w:t>
      </w:r>
      <w:r w:rsidRPr="004809D0">
        <w:rPr>
          <w:rFonts w:ascii="Times New Roman" w:hAnsi="Times New Roman"/>
          <w:color w:val="000000"/>
        </w:rPr>
        <w:t>: procentu izdevumi</w:t>
      </w:r>
      <w:r>
        <w:rPr>
          <w:rFonts w:ascii="Times New Roman" w:hAnsi="Times New Roman"/>
          <w:color w:val="000000"/>
        </w:rPr>
        <w:t>, subsīdiju izdevumi</w:t>
      </w:r>
      <w:r w:rsidRPr="004809D0">
        <w:rPr>
          <w:rFonts w:ascii="Times New Roman" w:hAnsi="Times New Roman"/>
          <w:color w:val="000000"/>
        </w:rPr>
        <w:t xml:space="preserve"> </w:t>
      </w:r>
      <w:r>
        <w:rPr>
          <w:rFonts w:ascii="Times New Roman" w:hAnsi="Times New Roman"/>
          <w:color w:val="000000"/>
        </w:rPr>
        <w:t>un kapitālo izdevumu transferti. Šāda pieeja tiek izmantota, jo tiek pieņemts, ka fiskālā telpa</w:t>
      </w:r>
      <w:r w:rsidRPr="004809D0">
        <w:rPr>
          <w:rFonts w:ascii="Times New Roman" w:hAnsi="Times New Roman"/>
          <w:color w:val="000000"/>
        </w:rPr>
        <w:t xml:space="preserve"> </w:t>
      </w:r>
      <w:r>
        <w:rPr>
          <w:rFonts w:ascii="Times New Roman" w:hAnsi="Times New Roman"/>
          <w:color w:val="000000"/>
        </w:rPr>
        <w:t>uz</w:t>
      </w:r>
      <w:r w:rsidRPr="004809D0">
        <w:rPr>
          <w:rFonts w:ascii="Times New Roman" w:hAnsi="Times New Roman"/>
          <w:color w:val="000000"/>
        </w:rPr>
        <w:t xml:space="preserve"> </w:t>
      </w:r>
      <w:r>
        <w:rPr>
          <w:rFonts w:ascii="Times New Roman" w:hAnsi="Times New Roman"/>
          <w:color w:val="000000"/>
        </w:rPr>
        <w:t>šīm</w:t>
      </w:r>
      <w:r w:rsidRPr="004809D0">
        <w:rPr>
          <w:rFonts w:ascii="Times New Roman" w:hAnsi="Times New Roman"/>
          <w:color w:val="000000"/>
        </w:rPr>
        <w:t xml:space="preserve"> izdevumu kategorijām</w:t>
      </w:r>
      <w:r>
        <w:rPr>
          <w:rFonts w:ascii="Times New Roman" w:hAnsi="Times New Roman"/>
          <w:color w:val="000000"/>
        </w:rPr>
        <w:t xml:space="preserve"> </w:t>
      </w:r>
      <w:r w:rsidRPr="004809D0">
        <w:rPr>
          <w:rFonts w:ascii="Times New Roman" w:hAnsi="Times New Roman"/>
          <w:color w:val="000000"/>
        </w:rPr>
        <w:t xml:space="preserve">netiek </w:t>
      </w:r>
      <w:r>
        <w:rPr>
          <w:rFonts w:ascii="Times New Roman" w:hAnsi="Times New Roman"/>
          <w:color w:val="000000"/>
        </w:rPr>
        <w:t>pārdalīta.</w:t>
      </w:r>
      <w:r w:rsidRPr="004809D0">
        <w:rPr>
          <w:rFonts w:ascii="Times New Roman" w:hAnsi="Times New Roman"/>
          <w:color w:val="000000"/>
        </w:rPr>
        <w:t xml:space="preserve">  </w:t>
      </w:r>
    </w:p>
    <w:p w14:paraId="16AEFF64" w14:textId="77777777" w:rsidR="000B76F4" w:rsidRPr="00E773FD" w:rsidRDefault="000B76F4" w:rsidP="005812B4">
      <w:pPr>
        <w:pStyle w:val="teksts"/>
        <w:spacing w:after="60"/>
        <w:ind w:firstLine="720"/>
        <w:rPr>
          <w:rFonts w:ascii="Times New Roman" w:hAnsi="Times New Roman"/>
          <w:color w:val="000000"/>
        </w:rPr>
      </w:pPr>
      <w:r w:rsidRPr="0041584E">
        <w:rPr>
          <w:rFonts w:ascii="Times New Roman" w:hAnsi="Times New Roman"/>
          <w:color w:val="000000"/>
        </w:rPr>
        <w:t>Jāatzīmē, ka šobrīd tiek pieņemts, ka visa fiskālā telpa ir sadalāma papildus izdevumiem, jo fiskālā nodrošinājuma rezerve tiks aprēķināta nākamā gada budžeta sagatavošanas procesā atbilstoši Fiskālo risku deklarācijai.</w:t>
      </w:r>
    </w:p>
    <w:p w14:paraId="011AF661" w14:textId="77777777" w:rsidR="003B4685" w:rsidRPr="00E773FD" w:rsidRDefault="003B4685" w:rsidP="005812B4">
      <w:pPr>
        <w:spacing w:after="60" w:line="240" w:lineRule="auto"/>
        <w:ind w:firstLine="720"/>
        <w:jc w:val="both"/>
        <w:rPr>
          <w:rFonts w:ascii="Times New Roman" w:eastAsia="Times New Roman" w:hAnsi="Times New Roman" w:cs="Times New Roman"/>
          <w:color w:val="000000"/>
          <w:sz w:val="24"/>
          <w:szCs w:val="24"/>
        </w:rPr>
      </w:pPr>
      <w:r w:rsidRPr="00E773FD">
        <w:rPr>
          <w:rFonts w:ascii="Times New Roman" w:eastAsia="Times New Roman" w:hAnsi="Times New Roman" w:cs="Times New Roman"/>
          <w:color w:val="000000"/>
          <w:sz w:val="24"/>
          <w:szCs w:val="20"/>
        </w:rPr>
        <w:t>Savukārt, 2016.gadā prognozētais deficīts ir vienāds ar tā līmeni pie nemainīgas politikas, vienlaicīgi apzinoties, ka strukturālās budžeta bilances mērķis, kas ir -1,0% no IKP, tiek pārsniegts par 0,2% no IKP. Valdība apņemas diskutēt un lemt par pasākumiem, lai sasn</w:t>
      </w:r>
      <w:r w:rsidRPr="00E773FD">
        <w:rPr>
          <w:rFonts w:ascii="Times New Roman" w:eastAsia="Times New Roman" w:hAnsi="Times New Roman" w:cs="Times New Roman"/>
          <w:color w:val="000000"/>
          <w:sz w:val="24"/>
          <w:szCs w:val="24"/>
        </w:rPr>
        <w:t>iegtu izvirzīto strukturālās bilances mērķi 2016.gadā, nākamā gada budžeta sagatavošanās procesā.</w:t>
      </w:r>
    </w:p>
    <w:p w14:paraId="4416524E" w14:textId="77777777" w:rsidR="003B4685" w:rsidRPr="00E773FD" w:rsidRDefault="003B4685" w:rsidP="0020740D">
      <w:pPr>
        <w:spacing w:after="0" w:line="240" w:lineRule="auto"/>
        <w:ind w:firstLine="720"/>
        <w:jc w:val="both"/>
        <w:rPr>
          <w:rFonts w:ascii="Times New Roman" w:hAnsi="Times New Roman" w:cs="Times New Roman"/>
          <w:b/>
          <w:color w:val="000000"/>
          <w:sz w:val="24"/>
          <w:szCs w:val="24"/>
        </w:rPr>
      </w:pPr>
      <w:r w:rsidRPr="00E773FD">
        <w:rPr>
          <w:rFonts w:ascii="Times New Roman" w:hAnsi="Times New Roman" w:cs="Times New Roman"/>
          <w:sz w:val="24"/>
          <w:szCs w:val="24"/>
        </w:rPr>
        <w:t xml:space="preserve">Tādējādi, </w:t>
      </w:r>
      <w:r w:rsidRPr="00E773FD">
        <w:rPr>
          <w:rFonts w:ascii="Times New Roman" w:hAnsi="Times New Roman" w:cs="Times New Roman"/>
          <w:b/>
          <w:sz w:val="24"/>
          <w:szCs w:val="24"/>
        </w:rPr>
        <w:t>fiskālās attīstības scenārijs paredz vispārējās valdības budžeta deficītu 2015.gadā 1,5% no IKP, 2016.gadā 1,6% no IKP, 2017.gadā 1,3% no IKP un 2018.gadā 1,7% no IKP.</w:t>
      </w:r>
    </w:p>
    <w:p w14:paraId="58E8E434" w14:textId="49C0E10D" w:rsidR="00E773FD" w:rsidRPr="002D6792" w:rsidRDefault="00142A2C" w:rsidP="0020740D">
      <w:pPr>
        <w:pStyle w:val="teksts"/>
        <w:spacing w:after="0"/>
        <w:ind w:firstLine="720"/>
        <w:jc w:val="right"/>
        <w:rPr>
          <w:rFonts w:ascii="Times New Roman" w:eastAsiaTheme="minorHAnsi" w:hAnsi="Times New Roman"/>
          <w:b/>
          <w:szCs w:val="24"/>
        </w:rPr>
      </w:pPr>
      <w:r>
        <w:rPr>
          <w:rFonts w:ascii="Times New Roman" w:eastAsiaTheme="minorHAnsi" w:hAnsi="Times New Roman"/>
          <w:b/>
          <w:szCs w:val="24"/>
        </w:rPr>
        <w:t>3.11.</w:t>
      </w:r>
      <w:r w:rsidR="00E773FD" w:rsidRPr="002D6792">
        <w:rPr>
          <w:rFonts w:ascii="Times New Roman" w:eastAsiaTheme="minorHAnsi" w:hAnsi="Times New Roman"/>
          <w:b/>
          <w:szCs w:val="24"/>
        </w:rPr>
        <w:t>tabula. Vidējā termiņa fiskālās attīstības scenārijs</w:t>
      </w:r>
    </w:p>
    <w:tbl>
      <w:tblPr>
        <w:tblStyle w:val="GridTable6ColorfulAccent1"/>
        <w:tblW w:w="8075" w:type="dxa"/>
        <w:jc w:val="center"/>
        <w:tblLayout w:type="fixed"/>
        <w:tblLook w:val="04A0" w:firstRow="1" w:lastRow="0" w:firstColumn="1" w:lastColumn="0" w:noHBand="0" w:noVBand="1"/>
      </w:tblPr>
      <w:tblGrid>
        <w:gridCol w:w="2689"/>
        <w:gridCol w:w="1044"/>
        <w:gridCol w:w="940"/>
        <w:gridCol w:w="851"/>
        <w:gridCol w:w="850"/>
        <w:gridCol w:w="851"/>
        <w:gridCol w:w="850"/>
      </w:tblGrid>
      <w:tr w:rsidR="002C10FB" w:rsidRPr="002C10FB" w14:paraId="7C12AFC4" w14:textId="77777777" w:rsidTr="002C10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7987889D" w14:textId="77777777" w:rsidR="00E773FD" w:rsidRPr="002C10FB" w:rsidRDefault="00E773FD" w:rsidP="00E773FD">
            <w:pPr>
              <w:pStyle w:val="tabteksts"/>
              <w:jc w:val="center"/>
              <w:rPr>
                <w:b w:val="0"/>
                <w:color w:val="auto"/>
                <w:highlight w:val="yellow"/>
              </w:rPr>
            </w:pPr>
          </w:p>
        </w:tc>
        <w:tc>
          <w:tcPr>
            <w:tcW w:w="1044" w:type="dxa"/>
          </w:tcPr>
          <w:p w14:paraId="5F90EB31" w14:textId="77777777" w:rsidR="00E773FD" w:rsidRPr="002C10FB" w:rsidRDefault="00E773FD" w:rsidP="00E773FD">
            <w:pPr>
              <w:pStyle w:val="tabteksts"/>
              <w:jc w:val="center"/>
              <w:cnfStyle w:val="100000000000" w:firstRow="1" w:lastRow="0" w:firstColumn="0" w:lastColumn="0" w:oddVBand="0" w:evenVBand="0" w:oddHBand="0" w:evenHBand="0" w:firstRowFirstColumn="0" w:firstRowLastColumn="0" w:lastRowFirstColumn="0" w:lastRowLastColumn="0"/>
              <w:rPr>
                <w:b w:val="0"/>
                <w:color w:val="auto"/>
              </w:rPr>
            </w:pPr>
          </w:p>
        </w:tc>
        <w:tc>
          <w:tcPr>
            <w:tcW w:w="940" w:type="dxa"/>
          </w:tcPr>
          <w:p w14:paraId="559B8FE4" w14:textId="77777777" w:rsidR="00E773FD" w:rsidRPr="002C10FB" w:rsidRDefault="00E773FD" w:rsidP="00E773FD">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2C10FB">
              <w:rPr>
                <w:color w:val="auto"/>
              </w:rPr>
              <w:t>2014</w:t>
            </w:r>
          </w:p>
        </w:tc>
        <w:tc>
          <w:tcPr>
            <w:tcW w:w="851" w:type="dxa"/>
          </w:tcPr>
          <w:p w14:paraId="4BEBF68B" w14:textId="77777777" w:rsidR="00E773FD" w:rsidRPr="002C10FB" w:rsidRDefault="00E773FD" w:rsidP="00E773FD">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2C10FB">
              <w:rPr>
                <w:color w:val="auto"/>
              </w:rPr>
              <w:t>2015</w:t>
            </w:r>
          </w:p>
        </w:tc>
        <w:tc>
          <w:tcPr>
            <w:tcW w:w="850" w:type="dxa"/>
          </w:tcPr>
          <w:p w14:paraId="365E0EBC" w14:textId="77777777" w:rsidR="00E773FD" w:rsidRPr="002C10FB" w:rsidRDefault="00E773FD" w:rsidP="00E773FD">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2C10FB">
              <w:rPr>
                <w:color w:val="auto"/>
              </w:rPr>
              <w:t>2016</w:t>
            </w:r>
          </w:p>
        </w:tc>
        <w:tc>
          <w:tcPr>
            <w:tcW w:w="851" w:type="dxa"/>
          </w:tcPr>
          <w:p w14:paraId="51680CC6" w14:textId="77777777" w:rsidR="00E773FD" w:rsidRPr="002C10FB" w:rsidRDefault="00E773FD" w:rsidP="00E773FD">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2C10FB">
              <w:rPr>
                <w:color w:val="auto"/>
              </w:rPr>
              <w:t>2017</w:t>
            </w:r>
          </w:p>
        </w:tc>
        <w:tc>
          <w:tcPr>
            <w:tcW w:w="850" w:type="dxa"/>
          </w:tcPr>
          <w:p w14:paraId="1FBEF6E7" w14:textId="77777777" w:rsidR="00E773FD" w:rsidRPr="002C10FB" w:rsidRDefault="00E773FD" w:rsidP="00E773FD">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2C10FB">
              <w:rPr>
                <w:color w:val="auto"/>
              </w:rPr>
              <w:t>2018</w:t>
            </w:r>
          </w:p>
        </w:tc>
      </w:tr>
      <w:tr w:rsidR="002C10FB" w:rsidRPr="002C10FB" w14:paraId="16B4A1C4"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73EDE6B7" w14:textId="77777777" w:rsidR="00E773FD" w:rsidRPr="002C10FB" w:rsidRDefault="00E773FD" w:rsidP="00E773FD">
            <w:pPr>
              <w:pStyle w:val="tabteksts"/>
              <w:rPr>
                <w:color w:val="auto"/>
                <w:highlight w:val="yellow"/>
              </w:rPr>
            </w:pPr>
          </w:p>
        </w:tc>
        <w:tc>
          <w:tcPr>
            <w:tcW w:w="1044" w:type="dxa"/>
          </w:tcPr>
          <w:p w14:paraId="08B8E5B5" w14:textId="77777777" w:rsidR="00E773FD" w:rsidRPr="002C10FB" w:rsidRDefault="00E773FD" w:rsidP="00E773FD">
            <w:pPr>
              <w:pStyle w:val="tabteksts"/>
              <w:jc w:val="center"/>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EKS kods</w:t>
            </w:r>
          </w:p>
        </w:tc>
        <w:tc>
          <w:tcPr>
            <w:tcW w:w="4342" w:type="dxa"/>
            <w:gridSpan w:val="5"/>
          </w:tcPr>
          <w:p w14:paraId="38510188" w14:textId="77777777" w:rsidR="00E773FD" w:rsidRPr="002C10FB" w:rsidRDefault="00E773FD" w:rsidP="00E773FD">
            <w:pPr>
              <w:pStyle w:val="tabteksts"/>
              <w:jc w:val="center"/>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 no IKP</w:t>
            </w:r>
          </w:p>
        </w:tc>
      </w:tr>
      <w:tr w:rsidR="002C10FB" w:rsidRPr="002C10FB" w14:paraId="04F62175"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8075" w:type="dxa"/>
            <w:gridSpan w:val="7"/>
          </w:tcPr>
          <w:p w14:paraId="2AAE8A23" w14:textId="77777777" w:rsidR="00E773FD" w:rsidRPr="002C10FB" w:rsidRDefault="00E773FD" w:rsidP="00E773FD">
            <w:pPr>
              <w:ind w:firstLine="720"/>
              <w:jc w:val="center"/>
              <w:rPr>
                <w:rFonts w:ascii="Times New Roman" w:hAnsi="Times New Roman" w:cs="Times New Roman"/>
                <w:noProof/>
                <w:snapToGrid w:val="0"/>
                <w:color w:val="auto"/>
                <w:sz w:val="20"/>
                <w:szCs w:val="20"/>
              </w:rPr>
            </w:pPr>
            <w:r w:rsidRPr="002C10FB">
              <w:rPr>
                <w:rFonts w:ascii="Times New Roman" w:hAnsi="Times New Roman" w:cs="Times New Roman"/>
                <w:snapToGrid w:val="0"/>
                <w:color w:val="auto"/>
                <w:sz w:val="20"/>
                <w:szCs w:val="20"/>
              </w:rPr>
              <w:t xml:space="preserve">Neto aizdevumi (+) vai aizņēmumi (-) (B.9) pa </w:t>
            </w:r>
            <w:r w:rsidRPr="002C10FB">
              <w:rPr>
                <w:rFonts w:ascii="Times New Roman" w:hAnsi="Times New Roman" w:cs="Times New Roman"/>
                <w:noProof/>
                <w:snapToGrid w:val="0"/>
                <w:color w:val="auto"/>
                <w:sz w:val="20"/>
                <w:szCs w:val="20"/>
              </w:rPr>
              <w:t>apakšsektoriem</w:t>
            </w:r>
          </w:p>
        </w:tc>
      </w:tr>
      <w:tr w:rsidR="002C10FB" w:rsidRPr="002C10FB" w14:paraId="792DA128"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716E3694" w14:textId="77777777" w:rsidR="00E773FD" w:rsidRPr="002C10FB" w:rsidRDefault="00E773FD" w:rsidP="00E773FD">
            <w:pPr>
              <w:pStyle w:val="tabteksts"/>
              <w:rPr>
                <w:b w:val="0"/>
                <w:snapToGrid w:val="0"/>
                <w:color w:val="auto"/>
              </w:rPr>
            </w:pPr>
            <w:r w:rsidRPr="002C10FB">
              <w:rPr>
                <w:b w:val="0"/>
                <w:snapToGrid w:val="0"/>
                <w:color w:val="auto"/>
              </w:rPr>
              <w:t>Vispārējā valdība</w:t>
            </w:r>
          </w:p>
        </w:tc>
        <w:tc>
          <w:tcPr>
            <w:tcW w:w="1044" w:type="dxa"/>
          </w:tcPr>
          <w:p w14:paraId="2C30CAFF" w14:textId="77777777" w:rsidR="00E773FD" w:rsidRPr="002C10FB" w:rsidRDefault="00E773FD" w:rsidP="00E773FD">
            <w:pPr>
              <w:pStyle w:val="tabteksts"/>
              <w:jc w:val="center"/>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S.13</w:t>
            </w:r>
          </w:p>
        </w:tc>
        <w:tc>
          <w:tcPr>
            <w:tcW w:w="940" w:type="dxa"/>
          </w:tcPr>
          <w:p w14:paraId="66E85C98"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-1,4</w:t>
            </w:r>
          </w:p>
        </w:tc>
        <w:tc>
          <w:tcPr>
            <w:tcW w:w="851" w:type="dxa"/>
          </w:tcPr>
          <w:p w14:paraId="7B3529C1"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-1,5</w:t>
            </w:r>
          </w:p>
        </w:tc>
        <w:tc>
          <w:tcPr>
            <w:tcW w:w="850" w:type="dxa"/>
          </w:tcPr>
          <w:p w14:paraId="418FB897"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-1,6</w:t>
            </w:r>
          </w:p>
        </w:tc>
        <w:tc>
          <w:tcPr>
            <w:tcW w:w="851" w:type="dxa"/>
          </w:tcPr>
          <w:p w14:paraId="41A94CDA"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-1,3</w:t>
            </w:r>
          </w:p>
        </w:tc>
        <w:tc>
          <w:tcPr>
            <w:tcW w:w="850" w:type="dxa"/>
          </w:tcPr>
          <w:p w14:paraId="16F6126D"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-1,7</w:t>
            </w:r>
          </w:p>
        </w:tc>
      </w:tr>
      <w:tr w:rsidR="002C10FB" w:rsidRPr="002C10FB" w14:paraId="60C99C0B"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668C7942" w14:textId="77777777" w:rsidR="00E773FD" w:rsidRPr="002C10FB" w:rsidRDefault="00E773FD" w:rsidP="00E773FD">
            <w:pPr>
              <w:pStyle w:val="tabteksts"/>
              <w:rPr>
                <w:b w:val="0"/>
                <w:snapToGrid w:val="0"/>
                <w:color w:val="auto"/>
              </w:rPr>
            </w:pPr>
            <w:r w:rsidRPr="002C10FB">
              <w:rPr>
                <w:b w:val="0"/>
                <w:snapToGrid w:val="0"/>
                <w:color w:val="auto"/>
              </w:rPr>
              <w:t>Centrālā valdība</w:t>
            </w:r>
          </w:p>
        </w:tc>
        <w:tc>
          <w:tcPr>
            <w:tcW w:w="1044" w:type="dxa"/>
          </w:tcPr>
          <w:p w14:paraId="3614D163" w14:textId="77777777" w:rsidR="00E773FD" w:rsidRPr="002C10FB" w:rsidRDefault="00E773FD" w:rsidP="00E773FD">
            <w:pPr>
              <w:pStyle w:val="tabteksts"/>
              <w:jc w:val="center"/>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S.1311</w:t>
            </w:r>
          </w:p>
        </w:tc>
        <w:tc>
          <w:tcPr>
            <w:tcW w:w="940" w:type="dxa"/>
          </w:tcPr>
          <w:p w14:paraId="57B198D5"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-1,7</w:t>
            </w:r>
          </w:p>
        </w:tc>
        <w:tc>
          <w:tcPr>
            <w:tcW w:w="851" w:type="dxa"/>
          </w:tcPr>
          <w:p w14:paraId="5341035C"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-1,9</w:t>
            </w:r>
          </w:p>
        </w:tc>
        <w:tc>
          <w:tcPr>
            <w:tcW w:w="850" w:type="dxa"/>
          </w:tcPr>
          <w:p w14:paraId="002AD46A"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-2,0</w:t>
            </w:r>
          </w:p>
        </w:tc>
        <w:tc>
          <w:tcPr>
            <w:tcW w:w="851" w:type="dxa"/>
          </w:tcPr>
          <w:p w14:paraId="0623A0E1"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-2,0</w:t>
            </w:r>
          </w:p>
        </w:tc>
        <w:tc>
          <w:tcPr>
            <w:tcW w:w="850" w:type="dxa"/>
          </w:tcPr>
          <w:p w14:paraId="1FDF9E53"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-2,5</w:t>
            </w:r>
          </w:p>
        </w:tc>
      </w:tr>
      <w:tr w:rsidR="002C10FB" w:rsidRPr="002C10FB" w14:paraId="14B66105"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31744D5E" w14:textId="77777777" w:rsidR="00E773FD" w:rsidRPr="002C10FB" w:rsidRDefault="00E773FD" w:rsidP="00E773FD">
            <w:pPr>
              <w:pStyle w:val="tabteksts"/>
              <w:rPr>
                <w:b w:val="0"/>
                <w:snapToGrid w:val="0"/>
                <w:color w:val="auto"/>
              </w:rPr>
            </w:pPr>
            <w:r w:rsidRPr="002C10FB">
              <w:rPr>
                <w:b w:val="0"/>
                <w:snapToGrid w:val="0"/>
                <w:color w:val="auto"/>
              </w:rPr>
              <w:t>Vietējā valdība</w:t>
            </w:r>
          </w:p>
        </w:tc>
        <w:tc>
          <w:tcPr>
            <w:tcW w:w="1044" w:type="dxa"/>
          </w:tcPr>
          <w:p w14:paraId="55C8D894" w14:textId="77777777" w:rsidR="00E773FD" w:rsidRPr="002C10FB" w:rsidRDefault="00E773FD" w:rsidP="00E773FD">
            <w:pPr>
              <w:pStyle w:val="tabteksts"/>
              <w:jc w:val="center"/>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S.1313</w:t>
            </w:r>
          </w:p>
        </w:tc>
        <w:tc>
          <w:tcPr>
            <w:tcW w:w="940" w:type="dxa"/>
          </w:tcPr>
          <w:p w14:paraId="15297FE8"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-0,1</w:t>
            </w:r>
          </w:p>
        </w:tc>
        <w:tc>
          <w:tcPr>
            <w:tcW w:w="851" w:type="dxa"/>
          </w:tcPr>
          <w:p w14:paraId="741CAE76"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0,1</w:t>
            </w:r>
          </w:p>
        </w:tc>
        <w:tc>
          <w:tcPr>
            <w:tcW w:w="850" w:type="dxa"/>
          </w:tcPr>
          <w:p w14:paraId="0B5DD424"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0,0</w:t>
            </w:r>
          </w:p>
        </w:tc>
        <w:tc>
          <w:tcPr>
            <w:tcW w:w="851" w:type="dxa"/>
          </w:tcPr>
          <w:p w14:paraId="29A01284"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0,1</w:t>
            </w:r>
          </w:p>
        </w:tc>
        <w:tc>
          <w:tcPr>
            <w:tcW w:w="850" w:type="dxa"/>
          </w:tcPr>
          <w:p w14:paraId="7CF31696"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0,1</w:t>
            </w:r>
          </w:p>
        </w:tc>
      </w:tr>
      <w:tr w:rsidR="002C10FB" w:rsidRPr="002C10FB" w14:paraId="26EEA0EC"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33B4BF47" w14:textId="77777777" w:rsidR="00E773FD" w:rsidRPr="002C10FB" w:rsidRDefault="00E773FD" w:rsidP="00E773FD">
            <w:pPr>
              <w:pStyle w:val="tabteksts"/>
              <w:rPr>
                <w:b w:val="0"/>
                <w:snapToGrid w:val="0"/>
                <w:color w:val="auto"/>
              </w:rPr>
            </w:pPr>
            <w:r w:rsidRPr="002C10FB">
              <w:rPr>
                <w:b w:val="0"/>
                <w:snapToGrid w:val="0"/>
                <w:color w:val="auto"/>
              </w:rPr>
              <w:t>Sociālās nodrošināšanas fondi</w:t>
            </w:r>
          </w:p>
        </w:tc>
        <w:tc>
          <w:tcPr>
            <w:tcW w:w="1044" w:type="dxa"/>
          </w:tcPr>
          <w:p w14:paraId="381AE50E" w14:textId="77777777" w:rsidR="00E773FD" w:rsidRPr="002C10FB" w:rsidRDefault="00E773FD" w:rsidP="00E773FD">
            <w:pPr>
              <w:pStyle w:val="tabteksts"/>
              <w:jc w:val="center"/>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S.1314</w:t>
            </w:r>
          </w:p>
        </w:tc>
        <w:tc>
          <w:tcPr>
            <w:tcW w:w="940" w:type="dxa"/>
          </w:tcPr>
          <w:p w14:paraId="7AD210E4"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0,4</w:t>
            </w:r>
          </w:p>
        </w:tc>
        <w:tc>
          <w:tcPr>
            <w:tcW w:w="851" w:type="dxa"/>
          </w:tcPr>
          <w:p w14:paraId="67DEED9E"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0,4</w:t>
            </w:r>
          </w:p>
        </w:tc>
        <w:tc>
          <w:tcPr>
            <w:tcW w:w="850" w:type="dxa"/>
          </w:tcPr>
          <w:p w14:paraId="6E4EAABA"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0,4</w:t>
            </w:r>
          </w:p>
        </w:tc>
        <w:tc>
          <w:tcPr>
            <w:tcW w:w="851" w:type="dxa"/>
          </w:tcPr>
          <w:p w14:paraId="5AF883BA"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0,6</w:t>
            </w:r>
          </w:p>
        </w:tc>
        <w:tc>
          <w:tcPr>
            <w:tcW w:w="850" w:type="dxa"/>
          </w:tcPr>
          <w:p w14:paraId="0AE24E9D"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0,8</w:t>
            </w:r>
          </w:p>
        </w:tc>
      </w:tr>
      <w:tr w:rsidR="002C10FB" w:rsidRPr="002C10FB" w14:paraId="3ECE50C9"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75" w:type="dxa"/>
            <w:gridSpan w:val="7"/>
          </w:tcPr>
          <w:p w14:paraId="2BA046F1" w14:textId="77777777" w:rsidR="00E773FD" w:rsidRPr="002C10FB" w:rsidRDefault="00E773FD" w:rsidP="00E773FD">
            <w:pPr>
              <w:ind w:firstLine="720"/>
              <w:jc w:val="center"/>
              <w:rPr>
                <w:rFonts w:ascii="Times New Roman" w:hAnsi="Times New Roman" w:cs="Times New Roman"/>
                <w:snapToGrid w:val="0"/>
                <w:color w:val="auto"/>
                <w:sz w:val="20"/>
                <w:szCs w:val="20"/>
              </w:rPr>
            </w:pPr>
            <w:r w:rsidRPr="002C10FB">
              <w:rPr>
                <w:rFonts w:ascii="Times New Roman" w:hAnsi="Times New Roman" w:cs="Times New Roman"/>
                <w:snapToGrid w:val="0"/>
                <w:color w:val="auto"/>
                <w:sz w:val="20"/>
                <w:szCs w:val="20"/>
              </w:rPr>
              <w:t>Vispārējā valdība (S.13)</w:t>
            </w:r>
          </w:p>
        </w:tc>
      </w:tr>
      <w:tr w:rsidR="002C10FB" w:rsidRPr="002C10FB" w14:paraId="435E0DEA"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0BFE0291" w14:textId="77777777" w:rsidR="00E773FD" w:rsidRPr="002C10FB" w:rsidRDefault="00E773FD" w:rsidP="00E773FD">
            <w:pPr>
              <w:pStyle w:val="tabteksts"/>
              <w:rPr>
                <w:b w:val="0"/>
                <w:snapToGrid w:val="0"/>
                <w:color w:val="auto"/>
              </w:rPr>
            </w:pPr>
            <w:r w:rsidRPr="002C10FB">
              <w:rPr>
                <w:b w:val="0"/>
                <w:snapToGrid w:val="0"/>
                <w:color w:val="auto"/>
              </w:rPr>
              <w:t xml:space="preserve">Kopējie ieņēmumi </w:t>
            </w:r>
          </w:p>
        </w:tc>
        <w:tc>
          <w:tcPr>
            <w:tcW w:w="1044" w:type="dxa"/>
          </w:tcPr>
          <w:p w14:paraId="2AB53C75" w14:textId="77777777" w:rsidR="00E773FD" w:rsidRPr="002C10FB" w:rsidRDefault="00E773FD" w:rsidP="00E773FD">
            <w:pPr>
              <w:pStyle w:val="tabteksts"/>
              <w:jc w:val="center"/>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TR</w:t>
            </w:r>
          </w:p>
        </w:tc>
        <w:tc>
          <w:tcPr>
            <w:tcW w:w="940" w:type="dxa"/>
          </w:tcPr>
          <w:p w14:paraId="05DD2ECC"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35,0</w:t>
            </w:r>
          </w:p>
        </w:tc>
        <w:tc>
          <w:tcPr>
            <w:tcW w:w="851" w:type="dxa"/>
          </w:tcPr>
          <w:p w14:paraId="1158F6DE"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34,2</w:t>
            </w:r>
          </w:p>
        </w:tc>
        <w:tc>
          <w:tcPr>
            <w:tcW w:w="850" w:type="dxa"/>
          </w:tcPr>
          <w:p w14:paraId="1D036350"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32,7</w:t>
            </w:r>
          </w:p>
        </w:tc>
        <w:tc>
          <w:tcPr>
            <w:tcW w:w="851" w:type="dxa"/>
          </w:tcPr>
          <w:p w14:paraId="2605C48A"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32,7</w:t>
            </w:r>
          </w:p>
        </w:tc>
        <w:tc>
          <w:tcPr>
            <w:tcW w:w="850" w:type="dxa"/>
          </w:tcPr>
          <w:p w14:paraId="465198C1"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32,3</w:t>
            </w:r>
          </w:p>
        </w:tc>
      </w:tr>
      <w:tr w:rsidR="002C10FB" w:rsidRPr="002C10FB" w14:paraId="358C8DD1" w14:textId="77777777" w:rsidTr="002C10FB">
        <w:trPr>
          <w:cnfStyle w:val="000000100000" w:firstRow="0" w:lastRow="0" w:firstColumn="0" w:lastColumn="0" w:oddVBand="0" w:evenVBand="0" w:oddHBand="1" w:evenHBand="0"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2689" w:type="dxa"/>
          </w:tcPr>
          <w:p w14:paraId="0A488FC5" w14:textId="77777777" w:rsidR="00E773FD" w:rsidRPr="002C10FB" w:rsidRDefault="00E773FD" w:rsidP="00E773FD">
            <w:pPr>
              <w:pStyle w:val="tabteksts"/>
              <w:rPr>
                <w:b w:val="0"/>
                <w:snapToGrid w:val="0"/>
                <w:color w:val="auto"/>
              </w:rPr>
            </w:pPr>
            <w:r w:rsidRPr="002C10FB">
              <w:rPr>
                <w:b w:val="0"/>
                <w:snapToGrid w:val="0"/>
                <w:color w:val="auto"/>
              </w:rPr>
              <w:t>Kopējie izdevumi</w:t>
            </w:r>
          </w:p>
        </w:tc>
        <w:tc>
          <w:tcPr>
            <w:tcW w:w="1044" w:type="dxa"/>
          </w:tcPr>
          <w:p w14:paraId="1CC0302A" w14:textId="77777777" w:rsidR="00E773FD" w:rsidRPr="002C10FB" w:rsidRDefault="00E773FD" w:rsidP="00E773FD">
            <w:pPr>
              <w:pStyle w:val="tabteksts"/>
              <w:jc w:val="center"/>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TE</w:t>
            </w:r>
          </w:p>
        </w:tc>
        <w:tc>
          <w:tcPr>
            <w:tcW w:w="940" w:type="dxa"/>
          </w:tcPr>
          <w:p w14:paraId="14048C8F"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36,4</w:t>
            </w:r>
          </w:p>
        </w:tc>
        <w:tc>
          <w:tcPr>
            <w:tcW w:w="851" w:type="dxa"/>
          </w:tcPr>
          <w:p w14:paraId="0D910080"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35,6</w:t>
            </w:r>
          </w:p>
        </w:tc>
        <w:tc>
          <w:tcPr>
            <w:tcW w:w="850" w:type="dxa"/>
          </w:tcPr>
          <w:p w14:paraId="0ECCEAF8"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34,3</w:t>
            </w:r>
          </w:p>
        </w:tc>
        <w:tc>
          <w:tcPr>
            <w:tcW w:w="851" w:type="dxa"/>
          </w:tcPr>
          <w:p w14:paraId="665EF5F9"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34,0</w:t>
            </w:r>
          </w:p>
        </w:tc>
        <w:tc>
          <w:tcPr>
            <w:tcW w:w="850" w:type="dxa"/>
          </w:tcPr>
          <w:p w14:paraId="640F2F0A"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34,0</w:t>
            </w:r>
          </w:p>
        </w:tc>
      </w:tr>
      <w:tr w:rsidR="002C10FB" w:rsidRPr="002C10FB" w14:paraId="5FF1DA95"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6C295614" w14:textId="77777777" w:rsidR="00E773FD" w:rsidRPr="002C10FB" w:rsidRDefault="00E773FD" w:rsidP="00E773FD">
            <w:pPr>
              <w:pStyle w:val="tabteksts"/>
              <w:rPr>
                <w:b w:val="0"/>
                <w:snapToGrid w:val="0"/>
                <w:color w:val="auto"/>
              </w:rPr>
            </w:pPr>
            <w:r w:rsidRPr="002C10FB">
              <w:rPr>
                <w:b w:val="0"/>
                <w:snapToGrid w:val="0"/>
                <w:color w:val="auto"/>
              </w:rPr>
              <w:t>Procentu izdevumi</w:t>
            </w:r>
          </w:p>
        </w:tc>
        <w:tc>
          <w:tcPr>
            <w:tcW w:w="1044" w:type="dxa"/>
          </w:tcPr>
          <w:p w14:paraId="08D81E3A" w14:textId="77777777" w:rsidR="00E773FD" w:rsidRPr="002C10FB" w:rsidRDefault="00E773FD" w:rsidP="00E773FD">
            <w:pPr>
              <w:pStyle w:val="tabteksts"/>
              <w:jc w:val="center"/>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D.41</w:t>
            </w:r>
          </w:p>
        </w:tc>
        <w:tc>
          <w:tcPr>
            <w:tcW w:w="940" w:type="dxa"/>
          </w:tcPr>
          <w:p w14:paraId="660C4C58"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1,4</w:t>
            </w:r>
          </w:p>
        </w:tc>
        <w:tc>
          <w:tcPr>
            <w:tcW w:w="851" w:type="dxa"/>
          </w:tcPr>
          <w:p w14:paraId="00D9AB6E"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1,2</w:t>
            </w:r>
          </w:p>
        </w:tc>
        <w:tc>
          <w:tcPr>
            <w:tcW w:w="850" w:type="dxa"/>
          </w:tcPr>
          <w:p w14:paraId="39925E2C"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1,2</w:t>
            </w:r>
          </w:p>
        </w:tc>
        <w:tc>
          <w:tcPr>
            <w:tcW w:w="851" w:type="dxa"/>
          </w:tcPr>
          <w:p w14:paraId="3F339534"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1,1</w:t>
            </w:r>
          </w:p>
        </w:tc>
        <w:tc>
          <w:tcPr>
            <w:tcW w:w="850" w:type="dxa"/>
          </w:tcPr>
          <w:p w14:paraId="38EFBB51"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1,0</w:t>
            </w:r>
          </w:p>
        </w:tc>
      </w:tr>
      <w:tr w:rsidR="002C10FB" w:rsidRPr="002C10FB" w14:paraId="3807A412"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75" w:type="dxa"/>
            <w:gridSpan w:val="7"/>
          </w:tcPr>
          <w:p w14:paraId="5C5B5CE5" w14:textId="77777777" w:rsidR="00E773FD" w:rsidRPr="002C10FB" w:rsidRDefault="00E773FD" w:rsidP="00E773FD">
            <w:pPr>
              <w:ind w:firstLine="720"/>
              <w:jc w:val="center"/>
              <w:rPr>
                <w:rFonts w:ascii="Times New Roman" w:hAnsi="Times New Roman" w:cs="Times New Roman"/>
                <w:snapToGrid w:val="0"/>
                <w:color w:val="auto"/>
                <w:sz w:val="20"/>
                <w:szCs w:val="20"/>
                <w:highlight w:val="yellow"/>
              </w:rPr>
            </w:pPr>
            <w:r w:rsidRPr="002C10FB">
              <w:rPr>
                <w:rFonts w:ascii="Times New Roman" w:hAnsi="Times New Roman" w:cs="Times New Roman"/>
                <w:snapToGrid w:val="0"/>
                <w:color w:val="auto"/>
                <w:sz w:val="20"/>
                <w:szCs w:val="20"/>
              </w:rPr>
              <w:t>Cikliskā attīstība</w:t>
            </w:r>
          </w:p>
        </w:tc>
      </w:tr>
      <w:tr w:rsidR="002C10FB" w:rsidRPr="002C10FB" w14:paraId="1E78017C"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182E0914" w14:textId="77777777" w:rsidR="00E773FD" w:rsidRPr="002C10FB" w:rsidRDefault="00E773FD" w:rsidP="00E773FD">
            <w:pPr>
              <w:pStyle w:val="tabteksts"/>
              <w:rPr>
                <w:b w:val="0"/>
                <w:snapToGrid w:val="0"/>
                <w:color w:val="auto"/>
                <w:highlight w:val="yellow"/>
              </w:rPr>
            </w:pPr>
            <w:r w:rsidRPr="002C10FB">
              <w:rPr>
                <w:b w:val="0"/>
                <w:snapToGrid w:val="0"/>
                <w:color w:val="auto"/>
              </w:rPr>
              <w:t xml:space="preserve">Budžeta bilances cikliskā komponente </w:t>
            </w:r>
          </w:p>
        </w:tc>
        <w:tc>
          <w:tcPr>
            <w:tcW w:w="1044" w:type="dxa"/>
          </w:tcPr>
          <w:p w14:paraId="391F0322" w14:textId="77777777" w:rsidR="00E773FD" w:rsidRPr="002C10FB" w:rsidRDefault="00E773FD" w:rsidP="00E773FD">
            <w:pPr>
              <w:pStyle w:val="tabteksts"/>
              <w:cnfStyle w:val="000000000000" w:firstRow="0" w:lastRow="0" w:firstColumn="0" w:lastColumn="0" w:oddVBand="0" w:evenVBand="0" w:oddHBand="0" w:evenHBand="0" w:firstRowFirstColumn="0" w:firstRowLastColumn="0" w:lastRowFirstColumn="0" w:lastRowLastColumn="0"/>
              <w:rPr>
                <w:color w:val="auto"/>
                <w:highlight w:val="yellow"/>
              </w:rPr>
            </w:pPr>
          </w:p>
        </w:tc>
        <w:tc>
          <w:tcPr>
            <w:tcW w:w="940" w:type="dxa"/>
          </w:tcPr>
          <w:p w14:paraId="75C7F209"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0,2</w:t>
            </w:r>
          </w:p>
        </w:tc>
        <w:tc>
          <w:tcPr>
            <w:tcW w:w="851" w:type="dxa"/>
          </w:tcPr>
          <w:p w14:paraId="129D3670"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-0,1</w:t>
            </w:r>
          </w:p>
        </w:tc>
        <w:tc>
          <w:tcPr>
            <w:tcW w:w="850" w:type="dxa"/>
          </w:tcPr>
          <w:p w14:paraId="343E2135"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-0,1</w:t>
            </w:r>
          </w:p>
        </w:tc>
        <w:tc>
          <w:tcPr>
            <w:tcW w:w="851" w:type="dxa"/>
          </w:tcPr>
          <w:p w14:paraId="4E8CC2C6"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0,0</w:t>
            </w:r>
          </w:p>
        </w:tc>
        <w:tc>
          <w:tcPr>
            <w:tcW w:w="850" w:type="dxa"/>
          </w:tcPr>
          <w:p w14:paraId="0918FB94"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0,0</w:t>
            </w:r>
          </w:p>
        </w:tc>
      </w:tr>
      <w:tr w:rsidR="002C10FB" w:rsidRPr="002C10FB" w14:paraId="53EB15A6" w14:textId="77777777" w:rsidTr="002C10FB">
        <w:trPr>
          <w:cnfStyle w:val="000000100000" w:firstRow="0" w:lastRow="0" w:firstColumn="0" w:lastColumn="0" w:oddVBand="0" w:evenVBand="0" w:oddHBand="1" w:evenHBand="0"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2689" w:type="dxa"/>
          </w:tcPr>
          <w:p w14:paraId="7CDDA5AB" w14:textId="77777777" w:rsidR="00E773FD" w:rsidRPr="002C10FB" w:rsidRDefault="00E773FD" w:rsidP="00E773FD">
            <w:pPr>
              <w:pStyle w:val="tabteksts"/>
              <w:rPr>
                <w:b w:val="0"/>
                <w:snapToGrid w:val="0"/>
                <w:color w:val="auto"/>
                <w:highlight w:val="yellow"/>
              </w:rPr>
            </w:pPr>
            <w:r w:rsidRPr="002C10FB">
              <w:rPr>
                <w:b w:val="0"/>
                <w:snapToGrid w:val="0"/>
                <w:color w:val="auto"/>
              </w:rPr>
              <w:t>Strukturālā bilance</w:t>
            </w:r>
          </w:p>
        </w:tc>
        <w:tc>
          <w:tcPr>
            <w:tcW w:w="1044" w:type="dxa"/>
          </w:tcPr>
          <w:p w14:paraId="5E299717" w14:textId="77777777" w:rsidR="00E773FD" w:rsidRPr="002C10FB" w:rsidRDefault="00E773FD" w:rsidP="00E773FD">
            <w:pPr>
              <w:pStyle w:val="tabteksts"/>
              <w:cnfStyle w:val="000000100000" w:firstRow="0" w:lastRow="0" w:firstColumn="0" w:lastColumn="0" w:oddVBand="0" w:evenVBand="0" w:oddHBand="1" w:evenHBand="0" w:firstRowFirstColumn="0" w:firstRowLastColumn="0" w:lastRowFirstColumn="0" w:lastRowLastColumn="0"/>
              <w:rPr>
                <w:color w:val="auto"/>
                <w:highlight w:val="yellow"/>
              </w:rPr>
            </w:pPr>
          </w:p>
        </w:tc>
        <w:tc>
          <w:tcPr>
            <w:tcW w:w="940" w:type="dxa"/>
          </w:tcPr>
          <w:p w14:paraId="7C9644DD"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-1,2</w:t>
            </w:r>
          </w:p>
        </w:tc>
        <w:tc>
          <w:tcPr>
            <w:tcW w:w="851" w:type="dxa"/>
          </w:tcPr>
          <w:p w14:paraId="2BDCC7A0"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-1,4</w:t>
            </w:r>
          </w:p>
        </w:tc>
        <w:tc>
          <w:tcPr>
            <w:tcW w:w="850" w:type="dxa"/>
          </w:tcPr>
          <w:p w14:paraId="4FE309FC"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-1,2</w:t>
            </w:r>
          </w:p>
        </w:tc>
        <w:tc>
          <w:tcPr>
            <w:tcW w:w="851" w:type="dxa"/>
          </w:tcPr>
          <w:p w14:paraId="5402DF9D"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-0,9</w:t>
            </w:r>
          </w:p>
        </w:tc>
        <w:tc>
          <w:tcPr>
            <w:tcW w:w="850" w:type="dxa"/>
          </w:tcPr>
          <w:p w14:paraId="0D49666D"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-1,2</w:t>
            </w:r>
          </w:p>
        </w:tc>
      </w:tr>
      <w:tr w:rsidR="002C10FB" w:rsidRPr="002C10FB" w14:paraId="132530EC"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7CAA6807" w14:textId="77777777" w:rsidR="00E773FD" w:rsidRPr="002C10FB" w:rsidRDefault="00E773FD" w:rsidP="00E773FD">
            <w:pPr>
              <w:pStyle w:val="tabteksts"/>
              <w:rPr>
                <w:b w:val="0"/>
                <w:snapToGrid w:val="0"/>
                <w:color w:val="auto"/>
                <w:highlight w:val="yellow"/>
              </w:rPr>
            </w:pPr>
            <w:r w:rsidRPr="002C10FB">
              <w:rPr>
                <w:b w:val="0"/>
                <w:snapToGrid w:val="0"/>
                <w:color w:val="auto"/>
              </w:rPr>
              <w:t>Cikliski koriģētā primārā bilance</w:t>
            </w:r>
          </w:p>
        </w:tc>
        <w:tc>
          <w:tcPr>
            <w:tcW w:w="1044" w:type="dxa"/>
          </w:tcPr>
          <w:p w14:paraId="3065D5DF" w14:textId="77777777" w:rsidR="00E773FD" w:rsidRPr="002C10FB" w:rsidRDefault="00E773FD" w:rsidP="00E773FD">
            <w:pPr>
              <w:pStyle w:val="tabteksts"/>
              <w:cnfStyle w:val="000000000000" w:firstRow="0" w:lastRow="0" w:firstColumn="0" w:lastColumn="0" w:oddVBand="0" w:evenVBand="0" w:oddHBand="0" w:evenHBand="0" w:firstRowFirstColumn="0" w:firstRowLastColumn="0" w:lastRowFirstColumn="0" w:lastRowLastColumn="0"/>
              <w:rPr>
                <w:color w:val="auto"/>
                <w:highlight w:val="yellow"/>
              </w:rPr>
            </w:pPr>
          </w:p>
        </w:tc>
        <w:tc>
          <w:tcPr>
            <w:tcW w:w="940" w:type="dxa"/>
          </w:tcPr>
          <w:p w14:paraId="4DCA9345"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-0,2</w:t>
            </w:r>
          </w:p>
        </w:tc>
        <w:tc>
          <w:tcPr>
            <w:tcW w:w="851" w:type="dxa"/>
          </w:tcPr>
          <w:p w14:paraId="6F808DF0"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-0,2</w:t>
            </w:r>
          </w:p>
        </w:tc>
        <w:tc>
          <w:tcPr>
            <w:tcW w:w="850" w:type="dxa"/>
          </w:tcPr>
          <w:p w14:paraId="31D22228"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-0,3</w:t>
            </w:r>
          </w:p>
        </w:tc>
        <w:tc>
          <w:tcPr>
            <w:tcW w:w="851" w:type="dxa"/>
          </w:tcPr>
          <w:p w14:paraId="657516A5"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-0,2</w:t>
            </w:r>
          </w:p>
        </w:tc>
        <w:tc>
          <w:tcPr>
            <w:tcW w:w="850" w:type="dxa"/>
          </w:tcPr>
          <w:p w14:paraId="57F2A808"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-0,7</w:t>
            </w:r>
          </w:p>
        </w:tc>
      </w:tr>
      <w:tr w:rsidR="002C10FB" w:rsidRPr="002C10FB" w14:paraId="6B2F60BA"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75" w:type="dxa"/>
            <w:gridSpan w:val="7"/>
          </w:tcPr>
          <w:p w14:paraId="14D2846F" w14:textId="77777777" w:rsidR="00E773FD" w:rsidRPr="002C10FB" w:rsidRDefault="00E773FD" w:rsidP="00E773FD">
            <w:pPr>
              <w:ind w:firstLine="720"/>
              <w:jc w:val="center"/>
              <w:rPr>
                <w:rFonts w:ascii="Times New Roman" w:hAnsi="Times New Roman" w:cs="Times New Roman"/>
                <w:snapToGrid w:val="0"/>
                <w:color w:val="auto"/>
                <w:sz w:val="20"/>
                <w:szCs w:val="20"/>
                <w:highlight w:val="yellow"/>
              </w:rPr>
            </w:pPr>
            <w:r w:rsidRPr="002C10FB">
              <w:rPr>
                <w:rFonts w:ascii="Times New Roman" w:hAnsi="Times New Roman" w:cs="Times New Roman"/>
                <w:snapToGrid w:val="0"/>
                <w:color w:val="auto"/>
                <w:sz w:val="20"/>
                <w:szCs w:val="20"/>
              </w:rPr>
              <w:t>Prognozes pie nemainīgas politikas</w:t>
            </w:r>
          </w:p>
        </w:tc>
      </w:tr>
      <w:tr w:rsidR="002C10FB" w:rsidRPr="002C10FB" w14:paraId="575CD47C"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2689" w:type="dxa"/>
          </w:tcPr>
          <w:p w14:paraId="139EA793" w14:textId="77777777" w:rsidR="00E773FD" w:rsidRPr="002C10FB" w:rsidRDefault="00E773FD" w:rsidP="00E773FD">
            <w:pPr>
              <w:pStyle w:val="tabteksts"/>
              <w:rPr>
                <w:b w:val="0"/>
                <w:snapToGrid w:val="0"/>
                <w:color w:val="auto"/>
              </w:rPr>
            </w:pPr>
            <w:r w:rsidRPr="002C10FB">
              <w:rPr>
                <w:b w:val="0"/>
                <w:snapToGrid w:val="0"/>
                <w:color w:val="auto"/>
              </w:rPr>
              <w:t>Vispārējās valdības bilance</w:t>
            </w:r>
          </w:p>
        </w:tc>
        <w:tc>
          <w:tcPr>
            <w:tcW w:w="1044" w:type="dxa"/>
          </w:tcPr>
          <w:p w14:paraId="488F6A60" w14:textId="77777777" w:rsidR="00E773FD" w:rsidRPr="002C10FB" w:rsidRDefault="00E773FD" w:rsidP="00E773FD">
            <w:pPr>
              <w:pStyle w:val="tabteksts"/>
              <w:jc w:val="center"/>
              <w:cnfStyle w:val="000000000000" w:firstRow="0" w:lastRow="0" w:firstColumn="0" w:lastColumn="0" w:oddVBand="0" w:evenVBand="0" w:oddHBand="0" w:evenHBand="0" w:firstRowFirstColumn="0" w:firstRowLastColumn="0" w:lastRowFirstColumn="0" w:lastRowLastColumn="0"/>
              <w:rPr>
                <w:color w:val="auto"/>
                <w:highlight w:val="yellow"/>
              </w:rPr>
            </w:pPr>
            <w:r w:rsidRPr="002C10FB">
              <w:rPr>
                <w:color w:val="auto"/>
              </w:rPr>
              <w:t>B.9</w:t>
            </w:r>
          </w:p>
        </w:tc>
        <w:tc>
          <w:tcPr>
            <w:tcW w:w="940" w:type="dxa"/>
          </w:tcPr>
          <w:p w14:paraId="40F0B2A7"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-1,4</w:t>
            </w:r>
          </w:p>
        </w:tc>
        <w:tc>
          <w:tcPr>
            <w:tcW w:w="851" w:type="dxa"/>
          </w:tcPr>
          <w:p w14:paraId="6D0278F9"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-1,5</w:t>
            </w:r>
          </w:p>
        </w:tc>
        <w:tc>
          <w:tcPr>
            <w:tcW w:w="850" w:type="dxa"/>
          </w:tcPr>
          <w:p w14:paraId="12E7CD2A"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-1,6</w:t>
            </w:r>
          </w:p>
        </w:tc>
        <w:tc>
          <w:tcPr>
            <w:tcW w:w="851" w:type="dxa"/>
          </w:tcPr>
          <w:p w14:paraId="61B67C87"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 xml:space="preserve">-0,2 </w:t>
            </w:r>
          </w:p>
        </w:tc>
        <w:tc>
          <w:tcPr>
            <w:tcW w:w="850" w:type="dxa"/>
          </w:tcPr>
          <w:p w14:paraId="30D430B1"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 xml:space="preserve">0,2 </w:t>
            </w:r>
          </w:p>
        </w:tc>
      </w:tr>
      <w:tr w:rsidR="002C10FB" w:rsidRPr="002C10FB" w14:paraId="79DCA9F2"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Pr>
          <w:p w14:paraId="1F507F40" w14:textId="77777777" w:rsidR="00E773FD" w:rsidRPr="002C10FB" w:rsidRDefault="00E773FD" w:rsidP="00E773FD">
            <w:pPr>
              <w:pStyle w:val="tabteksts"/>
              <w:rPr>
                <w:b w:val="0"/>
                <w:snapToGrid w:val="0"/>
                <w:color w:val="auto"/>
              </w:rPr>
            </w:pPr>
            <w:r w:rsidRPr="002C10FB">
              <w:rPr>
                <w:b w:val="0"/>
                <w:snapToGrid w:val="0"/>
                <w:color w:val="auto"/>
              </w:rPr>
              <w:t xml:space="preserve">Kopējie ieņēmumi </w:t>
            </w:r>
          </w:p>
        </w:tc>
        <w:tc>
          <w:tcPr>
            <w:tcW w:w="1044" w:type="dxa"/>
          </w:tcPr>
          <w:p w14:paraId="6E2E8ACC" w14:textId="77777777" w:rsidR="00E773FD" w:rsidRPr="002C10FB" w:rsidRDefault="00E773FD" w:rsidP="00E773FD">
            <w:pPr>
              <w:pStyle w:val="tabteksts"/>
              <w:jc w:val="center"/>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TR</w:t>
            </w:r>
          </w:p>
        </w:tc>
        <w:tc>
          <w:tcPr>
            <w:tcW w:w="940" w:type="dxa"/>
          </w:tcPr>
          <w:p w14:paraId="0A8F9811"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35,0</w:t>
            </w:r>
          </w:p>
        </w:tc>
        <w:tc>
          <w:tcPr>
            <w:tcW w:w="851" w:type="dxa"/>
          </w:tcPr>
          <w:p w14:paraId="41C983A4"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34,2</w:t>
            </w:r>
          </w:p>
        </w:tc>
        <w:tc>
          <w:tcPr>
            <w:tcW w:w="850" w:type="dxa"/>
          </w:tcPr>
          <w:p w14:paraId="6ACBFEA5"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32,7</w:t>
            </w:r>
          </w:p>
        </w:tc>
        <w:tc>
          <w:tcPr>
            <w:tcW w:w="851" w:type="dxa"/>
          </w:tcPr>
          <w:p w14:paraId="2EF4F881"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32,7</w:t>
            </w:r>
          </w:p>
        </w:tc>
        <w:tc>
          <w:tcPr>
            <w:tcW w:w="850" w:type="dxa"/>
          </w:tcPr>
          <w:p w14:paraId="06EE2A62" w14:textId="77777777" w:rsidR="00E773FD" w:rsidRPr="002C10FB" w:rsidRDefault="00E773FD" w:rsidP="00E773FD">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r w:rsidRPr="002C10FB">
              <w:rPr>
                <w:snapToGrid w:val="0"/>
                <w:color w:val="auto"/>
              </w:rPr>
              <w:t>32,3</w:t>
            </w:r>
          </w:p>
        </w:tc>
      </w:tr>
      <w:tr w:rsidR="002C10FB" w:rsidRPr="002C10FB" w14:paraId="48448DF5" w14:textId="77777777" w:rsidTr="002C10FB">
        <w:trPr>
          <w:trHeight w:val="70"/>
          <w:jc w:val="center"/>
        </w:trPr>
        <w:tc>
          <w:tcPr>
            <w:cnfStyle w:val="001000000000" w:firstRow="0" w:lastRow="0" w:firstColumn="1" w:lastColumn="0" w:oddVBand="0" w:evenVBand="0" w:oddHBand="0" w:evenHBand="0" w:firstRowFirstColumn="0" w:firstRowLastColumn="0" w:lastRowFirstColumn="0" w:lastRowLastColumn="0"/>
            <w:tcW w:w="2689" w:type="dxa"/>
          </w:tcPr>
          <w:p w14:paraId="21709989" w14:textId="77777777" w:rsidR="00E773FD" w:rsidRPr="002C10FB" w:rsidRDefault="00E773FD" w:rsidP="00E773FD">
            <w:pPr>
              <w:pStyle w:val="tabteksts"/>
              <w:rPr>
                <w:b w:val="0"/>
                <w:snapToGrid w:val="0"/>
                <w:color w:val="auto"/>
              </w:rPr>
            </w:pPr>
            <w:r w:rsidRPr="002C10FB">
              <w:rPr>
                <w:b w:val="0"/>
                <w:snapToGrid w:val="0"/>
                <w:color w:val="auto"/>
              </w:rPr>
              <w:t>Kopējie izdevumi</w:t>
            </w:r>
          </w:p>
        </w:tc>
        <w:tc>
          <w:tcPr>
            <w:tcW w:w="1044" w:type="dxa"/>
          </w:tcPr>
          <w:p w14:paraId="77BED08B" w14:textId="77777777" w:rsidR="00E773FD" w:rsidRPr="002C10FB" w:rsidRDefault="00E773FD" w:rsidP="00E773FD">
            <w:pPr>
              <w:pStyle w:val="tabteksts"/>
              <w:jc w:val="center"/>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TE</w:t>
            </w:r>
          </w:p>
        </w:tc>
        <w:tc>
          <w:tcPr>
            <w:tcW w:w="940" w:type="dxa"/>
          </w:tcPr>
          <w:p w14:paraId="6E53520A"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36,4</w:t>
            </w:r>
          </w:p>
        </w:tc>
        <w:tc>
          <w:tcPr>
            <w:tcW w:w="851" w:type="dxa"/>
          </w:tcPr>
          <w:p w14:paraId="0D7F390E"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35,6</w:t>
            </w:r>
          </w:p>
        </w:tc>
        <w:tc>
          <w:tcPr>
            <w:tcW w:w="850" w:type="dxa"/>
          </w:tcPr>
          <w:p w14:paraId="64BC8575"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34,3</w:t>
            </w:r>
          </w:p>
        </w:tc>
        <w:tc>
          <w:tcPr>
            <w:tcW w:w="851" w:type="dxa"/>
          </w:tcPr>
          <w:p w14:paraId="2F58BC43"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32,9</w:t>
            </w:r>
          </w:p>
        </w:tc>
        <w:tc>
          <w:tcPr>
            <w:tcW w:w="850" w:type="dxa"/>
          </w:tcPr>
          <w:p w14:paraId="7A3B193F" w14:textId="77777777" w:rsidR="00E773FD" w:rsidRPr="002C10FB" w:rsidRDefault="00E773FD" w:rsidP="00E773FD">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2C10FB">
              <w:rPr>
                <w:snapToGrid w:val="0"/>
                <w:color w:val="auto"/>
              </w:rPr>
              <w:t>32,1</w:t>
            </w:r>
          </w:p>
        </w:tc>
      </w:tr>
    </w:tbl>
    <w:p w14:paraId="4C5EE13D" w14:textId="77777777" w:rsidR="003B4685" w:rsidRPr="00E773FD" w:rsidRDefault="003B4685" w:rsidP="003B4685">
      <w:pPr>
        <w:ind w:firstLine="720"/>
        <w:jc w:val="both"/>
        <w:rPr>
          <w:rFonts w:ascii="Times New Roman" w:hAnsi="Times New Roman" w:cs="Times New Roman"/>
          <w:sz w:val="24"/>
          <w:szCs w:val="24"/>
        </w:rPr>
      </w:pPr>
      <w:r w:rsidRPr="00E773FD">
        <w:rPr>
          <w:rFonts w:ascii="Times New Roman" w:hAnsi="Times New Roman" w:cs="Times New Roman"/>
          <w:sz w:val="24"/>
          <w:szCs w:val="24"/>
        </w:rPr>
        <w:t xml:space="preserve">Tiek prognozēts, ka vidējā termiņā vispārējās valdības budžeta ieņēmumu īpatsvars IKP samazināsies, galvenokārt samazinoties nodokļu slogam no 28,2% no IKP 2015.gadā līdz 27,6% no IKP 2018.gadā, kā arī samazinoties saņemtajiem maksājumiem no </w:t>
      </w:r>
      <w:r>
        <w:rPr>
          <w:rFonts w:ascii="Times New Roman" w:hAnsi="Times New Roman" w:cs="Times New Roman"/>
          <w:sz w:val="24"/>
          <w:szCs w:val="24"/>
        </w:rPr>
        <w:t>EK</w:t>
      </w:r>
      <w:r w:rsidRPr="00E773FD">
        <w:rPr>
          <w:rFonts w:ascii="Times New Roman" w:hAnsi="Times New Roman" w:cs="Times New Roman"/>
          <w:sz w:val="24"/>
          <w:szCs w:val="24"/>
        </w:rPr>
        <w:t>, noslēdzoties 2007.-2013.gada plānošanas periodam. Nodokļu ieņēmumu pieaugums vispārējās valdības budžetā 2016.gadā būs salīdzinoši mērens, t.i. 3,1%. To galvenokārt ietekmēs sociālās apdrošināšanas iemaksu likmes palielinājums iemaksām 2.pensiju līmenī, kā arī paredzētais iedzīvotāju ienākuma nodokļa likmes samazinājums. Savukārt, 2017. un 2018.gadā nodokļu ieņēmumu pieaugums būs straujāks – ap 5-6%, jo pašreiz nav paredzētas izmaiņas nodokļu politikā ar būtiski negatīvu ietekmi uz ieņēmumiem. Tiek prognozēts, ka vispārējās valdības budžeta izdevumu īpatsvars IKP samazināsies un 2016.-2018.gadā būs nemainīgs.</w:t>
      </w:r>
    </w:p>
    <w:p w14:paraId="6EF3ACE9" w14:textId="77777777" w:rsidR="003B4685" w:rsidRPr="00E773FD" w:rsidRDefault="003B4685" w:rsidP="003B4685">
      <w:pPr>
        <w:spacing w:before="120" w:after="0"/>
        <w:jc w:val="both"/>
        <w:rPr>
          <w:rFonts w:ascii="Times New Roman" w:hAnsi="Times New Roman" w:cs="Times New Roman"/>
          <w:color w:val="000000"/>
          <w:sz w:val="24"/>
          <w:szCs w:val="24"/>
        </w:rPr>
      </w:pPr>
      <w:r w:rsidRPr="00E773FD">
        <w:rPr>
          <w:rFonts w:ascii="Times New Roman" w:hAnsi="Times New Roman" w:cs="Times New Roman"/>
          <w:b/>
          <w:color w:val="000000"/>
          <w:sz w:val="24"/>
          <w:szCs w:val="24"/>
        </w:rPr>
        <w:t xml:space="preserve">Centrālās valdības budžetā </w:t>
      </w:r>
      <w:r w:rsidRPr="00E773FD">
        <w:rPr>
          <w:rFonts w:ascii="Times New Roman" w:hAnsi="Times New Roman" w:cs="Times New Roman"/>
          <w:color w:val="000000"/>
          <w:sz w:val="24"/>
          <w:szCs w:val="24"/>
        </w:rPr>
        <w:t>tiek prognozēts:</w:t>
      </w:r>
    </w:p>
    <w:p w14:paraId="153D58FD" w14:textId="77777777" w:rsidR="003B4685" w:rsidRPr="002D6792" w:rsidRDefault="003B4685" w:rsidP="001537FA">
      <w:pPr>
        <w:pStyle w:val="ListParagraph"/>
        <w:numPr>
          <w:ilvl w:val="0"/>
          <w:numId w:val="21"/>
        </w:numPr>
        <w:spacing w:after="60" w:line="240" w:lineRule="auto"/>
        <w:ind w:left="709" w:hanging="357"/>
        <w:contextualSpacing w:val="0"/>
        <w:jc w:val="both"/>
        <w:rPr>
          <w:rFonts w:ascii="Times New Roman" w:hAnsi="Times New Roman" w:cs="Times New Roman"/>
          <w:color w:val="000000"/>
          <w:sz w:val="24"/>
          <w:szCs w:val="24"/>
        </w:rPr>
      </w:pPr>
      <w:r w:rsidRPr="002D6792">
        <w:rPr>
          <w:rFonts w:ascii="Times New Roman" w:hAnsi="Times New Roman" w:cs="Times New Roman"/>
          <w:color w:val="000000"/>
          <w:sz w:val="24"/>
          <w:szCs w:val="24"/>
        </w:rPr>
        <w:t>2015.gadā tiek prognozēts deficīts 1,9% no IKP apmērā, paredzot straujāku izdevumu pieaugumu pret iepriekšējo gadu nekā ieņēmumu pieaugumu. Centrālās valdības budžeta prognožu pamatā ir likumā “Par valsts budžetu 2015.gadam” plānotais izdevumu līmenis;</w:t>
      </w:r>
    </w:p>
    <w:p w14:paraId="6D8B9C94" w14:textId="77777777" w:rsidR="003B4685" w:rsidRPr="002D6792" w:rsidRDefault="003B4685" w:rsidP="001537FA">
      <w:pPr>
        <w:pStyle w:val="ListParagraph"/>
        <w:numPr>
          <w:ilvl w:val="0"/>
          <w:numId w:val="21"/>
        </w:numPr>
        <w:spacing w:after="60" w:line="240" w:lineRule="auto"/>
        <w:ind w:left="709" w:hanging="357"/>
        <w:contextualSpacing w:val="0"/>
        <w:jc w:val="both"/>
        <w:rPr>
          <w:rFonts w:ascii="Times New Roman" w:hAnsi="Times New Roman" w:cs="Times New Roman"/>
          <w:color w:val="000000"/>
          <w:sz w:val="24"/>
          <w:szCs w:val="24"/>
        </w:rPr>
      </w:pPr>
      <w:r w:rsidRPr="002D6792">
        <w:rPr>
          <w:rFonts w:ascii="Times New Roman" w:hAnsi="Times New Roman" w:cs="Times New Roman"/>
          <w:color w:val="000000"/>
          <w:sz w:val="24"/>
          <w:szCs w:val="24"/>
        </w:rPr>
        <w:t xml:space="preserve">Savukārt, 2016.-2018.gadā </w:t>
      </w:r>
      <w:r w:rsidRPr="002D6792">
        <w:rPr>
          <w:rFonts w:ascii="Times New Roman" w:hAnsi="Times New Roman" w:cs="Times New Roman"/>
          <w:sz w:val="24"/>
          <w:szCs w:val="24"/>
        </w:rPr>
        <w:t>centrālās valdības budžeta ieņēmumu pieaugumu nodrošinās ieņēmumi no ražošanas un importa nodokļiem, kā arī nodokļiem no ienākuma un mantas. Savukārt, prognozētie ieņēmumi no īpašuma, ko galvenokārt veido ieņēmumi par valsts kapitāla izmantošanu, saruks līdz 2017.gadam, jo pašreiz apstiprinātā kārtība paredz budžetā iemaksājamās peļņas daļas samazināšanu (2016.gadā 70% no gūtās peļņas un sākot ar 2017.gadu – 27%). Centrālās valdības budžeta izdevumi 2016.-2018.gadā pieaugs, bet procentuāli no IKP nedaudz samazināsies vai saglabāsies vienā līmenī, tādējādi īstenojot normatīvo aktu prasības attiecībā uz fiskālās disciplīnas nodrošināšanu. Izdevumu prognozēs tiek ņemts vērā nozaru ministriju iesniegtais un valdībā apstiprinātais bāzes finansējums turpmākajiem trim gadiem un straujāks finansējuma pieaugums aizsardzības jomai. Vienlaicīgi izdevumu prognozēs ir iekļauts iespējamais papildu finansējums (fiskālā telpa), par kura izmantošanu lēmums tiks pieņemts nākamā vidēja termiņa budžeta ietvara izstrādes laikā.</w:t>
      </w:r>
    </w:p>
    <w:p w14:paraId="2002BC39" w14:textId="77777777" w:rsidR="003B4685" w:rsidRPr="00E773FD" w:rsidRDefault="003B4685" w:rsidP="003B4685">
      <w:pPr>
        <w:spacing w:before="120" w:after="0"/>
        <w:jc w:val="both"/>
        <w:rPr>
          <w:rFonts w:ascii="Times New Roman" w:hAnsi="Times New Roman" w:cs="Times New Roman"/>
          <w:sz w:val="24"/>
          <w:szCs w:val="24"/>
        </w:rPr>
      </w:pPr>
      <w:r w:rsidRPr="00E773FD">
        <w:rPr>
          <w:rFonts w:ascii="Times New Roman" w:hAnsi="Times New Roman" w:cs="Times New Roman"/>
          <w:b/>
          <w:sz w:val="24"/>
          <w:szCs w:val="24"/>
        </w:rPr>
        <w:t>Sociālās nodrošināšanas fondos</w:t>
      </w:r>
      <w:r w:rsidRPr="00E773FD">
        <w:rPr>
          <w:rFonts w:ascii="Times New Roman" w:hAnsi="Times New Roman" w:cs="Times New Roman"/>
          <w:sz w:val="24"/>
          <w:szCs w:val="24"/>
        </w:rPr>
        <w:t xml:space="preserve"> sagaidāms:</w:t>
      </w:r>
    </w:p>
    <w:p w14:paraId="23FBA443" w14:textId="77777777" w:rsidR="003B4685" w:rsidRPr="002D6792" w:rsidRDefault="003B4685" w:rsidP="001537FA">
      <w:pPr>
        <w:pStyle w:val="ListParagraph"/>
        <w:numPr>
          <w:ilvl w:val="0"/>
          <w:numId w:val="21"/>
        </w:numPr>
        <w:spacing w:after="60" w:line="240" w:lineRule="auto"/>
        <w:ind w:left="709" w:hanging="357"/>
        <w:contextualSpacing w:val="0"/>
        <w:jc w:val="both"/>
        <w:rPr>
          <w:rFonts w:ascii="Times New Roman" w:hAnsi="Times New Roman" w:cs="Times New Roman"/>
          <w:color w:val="000000"/>
          <w:sz w:val="24"/>
          <w:szCs w:val="24"/>
        </w:rPr>
      </w:pPr>
      <w:r w:rsidRPr="002D6792">
        <w:rPr>
          <w:rFonts w:ascii="Times New Roman" w:hAnsi="Times New Roman" w:cs="Times New Roman"/>
          <w:color w:val="000000"/>
          <w:sz w:val="24"/>
          <w:szCs w:val="24"/>
        </w:rPr>
        <w:t>2015.gadā</w:t>
      </w:r>
      <w:r w:rsidRPr="00E773FD">
        <w:rPr>
          <w:rFonts w:ascii="Times New Roman" w:hAnsi="Times New Roman" w:cs="Times New Roman"/>
          <w:color w:val="000000"/>
          <w:sz w:val="24"/>
          <w:szCs w:val="24"/>
        </w:rPr>
        <w:t xml:space="preserve"> pārpalikums 0,4% no IKP apmērā un šāda tendence vērojama kopš pagājušā gada, kad stājās spēkā izmaiņas un līdzekļi pensiju piemaksu izmaksai tiek saņemti no centrālās valdības budžeta (transferts);</w:t>
      </w:r>
    </w:p>
    <w:p w14:paraId="07D951BF" w14:textId="77777777" w:rsidR="003B4685" w:rsidRPr="002D6792" w:rsidRDefault="003B4685" w:rsidP="001537FA">
      <w:pPr>
        <w:pStyle w:val="ListParagraph"/>
        <w:numPr>
          <w:ilvl w:val="0"/>
          <w:numId w:val="21"/>
        </w:numPr>
        <w:spacing w:after="60" w:line="240" w:lineRule="auto"/>
        <w:ind w:left="709" w:hanging="357"/>
        <w:contextualSpacing w:val="0"/>
        <w:jc w:val="both"/>
        <w:rPr>
          <w:rFonts w:ascii="Times New Roman" w:hAnsi="Times New Roman" w:cs="Times New Roman"/>
          <w:color w:val="000000"/>
          <w:sz w:val="24"/>
          <w:szCs w:val="24"/>
        </w:rPr>
      </w:pPr>
      <w:r w:rsidRPr="00E773FD">
        <w:rPr>
          <w:rFonts w:ascii="Times New Roman" w:hAnsi="Times New Roman" w:cs="Times New Roman"/>
          <w:color w:val="000000"/>
          <w:sz w:val="24"/>
          <w:szCs w:val="24"/>
        </w:rPr>
        <w:t xml:space="preserve">Tiek prognozēts, ka </w:t>
      </w:r>
      <w:r w:rsidRPr="002D6792">
        <w:rPr>
          <w:rFonts w:ascii="Times New Roman" w:hAnsi="Times New Roman" w:cs="Times New Roman"/>
          <w:color w:val="000000"/>
          <w:sz w:val="24"/>
          <w:szCs w:val="24"/>
        </w:rPr>
        <w:t xml:space="preserve">2016.-2018.gadā sociālās nodrošināšanas fondos arī saglabāsies pārpalikums, kas katru gadu nedaudz palielināsies, ieņēmumiem pieaugot straujāk nekā izdevumiem. Jāatzīmē, ka 2016.gadā ieņēmumu pieaugums būs minimāls, jo tiks paaugstināta sociālās apdrošināšanas iemaksu likme 2.pensiju līmenī par vienu procentpunktu, sasniedzot 6%, kā rezultātā lielāks ieņēmumu apjoms tiks novirzīts fondēto pensiju shēmā un tie nebūs uzskatāmi par budžeta ieņēmumiem. Vidējā termiņā tiek prognozēts pakāpenisks budžeta izdevumu pieaugums, kur ņemtas vērā prognozētās izmaiņas pabalstu saņēmēju skaitā un pabalstu vidējā apmērā. </w:t>
      </w:r>
    </w:p>
    <w:p w14:paraId="3721B0BA" w14:textId="77777777" w:rsidR="003B4685" w:rsidRPr="00E773FD" w:rsidRDefault="003B4685" w:rsidP="003B4685">
      <w:pPr>
        <w:spacing w:before="120" w:after="0"/>
        <w:jc w:val="both"/>
        <w:rPr>
          <w:rFonts w:ascii="Times New Roman" w:hAnsi="Times New Roman" w:cs="Times New Roman"/>
          <w:color w:val="000000"/>
          <w:sz w:val="24"/>
          <w:szCs w:val="24"/>
        </w:rPr>
      </w:pPr>
      <w:r w:rsidRPr="00E773FD">
        <w:rPr>
          <w:rFonts w:ascii="Times New Roman" w:hAnsi="Times New Roman" w:cs="Times New Roman"/>
          <w:b/>
          <w:color w:val="000000"/>
          <w:sz w:val="24"/>
          <w:szCs w:val="24"/>
        </w:rPr>
        <w:t>Vietējās valdības budžetā</w:t>
      </w:r>
      <w:r w:rsidRPr="00E773FD">
        <w:rPr>
          <w:rFonts w:ascii="Times New Roman" w:hAnsi="Times New Roman" w:cs="Times New Roman"/>
          <w:color w:val="000000"/>
          <w:sz w:val="24"/>
          <w:szCs w:val="24"/>
        </w:rPr>
        <w:t xml:space="preserve"> tiek prognozēts:</w:t>
      </w:r>
    </w:p>
    <w:p w14:paraId="1A7154FF" w14:textId="77777777" w:rsidR="003B4685" w:rsidRDefault="003B4685" w:rsidP="001537FA">
      <w:pPr>
        <w:pStyle w:val="ListParagraph"/>
        <w:numPr>
          <w:ilvl w:val="0"/>
          <w:numId w:val="21"/>
        </w:numPr>
        <w:spacing w:after="60" w:line="240" w:lineRule="auto"/>
        <w:ind w:left="709" w:hanging="357"/>
        <w:contextualSpacing w:val="0"/>
        <w:jc w:val="both"/>
        <w:rPr>
          <w:rFonts w:ascii="Times New Roman" w:hAnsi="Times New Roman" w:cs="Times New Roman"/>
          <w:color w:val="000000"/>
          <w:sz w:val="24"/>
          <w:szCs w:val="24"/>
        </w:rPr>
      </w:pPr>
      <w:r w:rsidRPr="00E773FD">
        <w:rPr>
          <w:rFonts w:ascii="Times New Roman" w:hAnsi="Times New Roman" w:cs="Times New Roman"/>
          <w:color w:val="000000"/>
          <w:sz w:val="24"/>
          <w:szCs w:val="24"/>
        </w:rPr>
        <w:t xml:space="preserve">2015.gadā tiek prognozēts pārpalikums 0,1% no IKP, kur nodokļu ieņēmumos ir sagaidāms pieaugums, taču izdevumu attīstība tiek prognozēta atbilstoši iepriekšējos gados novērotajām tendencēm. Tiek prognozēts, ka vietējās valdības budžetā izdevumu līmenis bruto pamatkapitāla veidošanai pamatfunkciju daļā saglabāsies 2014.gada līmenī, kā arī turpināsies ES fondu projektu īstenošana, izmantojot iepriekšējos gados saņemtos avansa maksājumus no centrālās valdības budžeta un ievērojot, ka šajā gadā noslēdzas 2007.-2013.gada plānošanas perioda projektu apguve. Vienlaikus, </w:t>
      </w:r>
      <w:r w:rsidRPr="002D6792">
        <w:rPr>
          <w:rFonts w:ascii="Times New Roman" w:hAnsi="Times New Roman" w:cs="Times New Roman"/>
          <w:color w:val="000000"/>
          <w:sz w:val="24"/>
          <w:szCs w:val="24"/>
        </w:rPr>
        <w:t>2015.gadā vietējās valdības budžeta izdevumus atslogo maksājumi par Dienvidu tilta būvniecību, jo izdevumi tika atzīti iepriekšējos gados objekta faktiskās būvniecības laikā;</w:t>
      </w:r>
    </w:p>
    <w:p w14:paraId="5AE8CCE8" w14:textId="08D6710A" w:rsidR="007E26F6" w:rsidRPr="003B4685" w:rsidRDefault="003B4685" w:rsidP="001537FA">
      <w:pPr>
        <w:pStyle w:val="ListParagraph"/>
        <w:numPr>
          <w:ilvl w:val="0"/>
          <w:numId w:val="21"/>
        </w:numPr>
        <w:spacing w:after="60" w:line="240" w:lineRule="auto"/>
        <w:ind w:left="709" w:hanging="357"/>
        <w:contextualSpacing w:val="0"/>
        <w:jc w:val="both"/>
        <w:rPr>
          <w:rFonts w:ascii="Times New Roman" w:hAnsi="Times New Roman" w:cs="Times New Roman"/>
          <w:color w:val="000000"/>
          <w:sz w:val="24"/>
          <w:szCs w:val="24"/>
        </w:rPr>
      </w:pPr>
      <w:r w:rsidRPr="003B4685">
        <w:rPr>
          <w:rFonts w:ascii="Times New Roman" w:hAnsi="Times New Roman" w:cs="Times New Roman"/>
          <w:color w:val="000000"/>
          <w:sz w:val="24"/>
          <w:szCs w:val="24"/>
        </w:rPr>
        <w:t>2016.-2018.gadā vietējās valdības budžets tiek prognozēts sabalansēts vai ar nelielu pārpalikumu. Attiecībā uz nodokļiem no ienākuma, kas ir lielākā vietējās valdības budžeta ieņēmumu pozīcija, tiek ņemta vērā iespējamā darba tirgus attīstība un spēkā esošā nodokļu likumdošana. 2016.gadā tā paredz iedzīvotāju ienākuma nodokļa likmes samazinājumu par vienu procentpunktu līdz 22%, kas noteiks mērenu nodokļu ieņēmumu no ienākuma pieaugumu, savukārt, 2017. un 2018.gadā tie būtiski palielināsies, ņemot vērā bāzes efektu. Vienlaicīgi jāatzīmē, ka saskaņā ar atjaunotajām prognozēm, pārējās ieņēmumu pozīcijās būtiskas izmaiņas nav sagaidāmas. Tiek prognozēts, ka vietējās valdības budžeta izdevumi vidējā termiņā pieaugs visās pozīcijās, izņemot sociālajiem pabalstiem. Izdevumu līmenis bruto pamatkapitāla veidošanai pamatfunkciju daļā 2016.-2018.gadā tiek prognozēts vienādā līmenī, pieņemot, ka 2016. un 2017.gadā aizņemšanās varētu notikt, galvenokārt, pamatfunkciju projektu īstenošanai (piem., izglītības iestāžu, to sporta būvju atjaunošanai). Vienlaikus, izdevumi bruto pamatkapitāla veidošanai, realizējot ES fondu projektus, 2016.-2018.gadā būs zemāki, ņemot vērā to, ka jaunā 2014.-2020.gada ES fondu plānošanas perioda finansējuma apguve vēl nebūs intensīva. Vienlaikus, arī vidējā termiņā vietējās valdības budžeta izdevumus turpinās atslogot maksājumi par Dienvidu tilta būvniecību, jo izdevumi tika atzīti iepriekšējos gados objekta būvniecības laikā.</w:t>
      </w:r>
    </w:p>
    <w:p w14:paraId="7FFFBCE9" w14:textId="77777777" w:rsidR="00A34463" w:rsidRDefault="00A34463" w:rsidP="003B4685">
      <w:pPr>
        <w:pStyle w:val="Heading2"/>
        <w:numPr>
          <w:ilvl w:val="1"/>
          <w:numId w:val="1"/>
        </w:numPr>
        <w:spacing w:before="320" w:after="120"/>
        <w:ind w:left="709"/>
        <w:rPr>
          <w:rFonts w:ascii="Times New Roman" w:hAnsi="Times New Roman" w:cs="Times New Roman"/>
          <w:sz w:val="24"/>
        </w:rPr>
      </w:pPr>
      <w:bookmarkStart w:id="10" w:name="_Toc416279071"/>
      <w:r w:rsidRPr="00F51615">
        <w:rPr>
          <w:rFonts w:ascii="Times New Roman" w:hAnsi="Times New Roman" w:cs="Times New Roman"/>
          <w:sz w:val="24"/>
        </w:rPr>
        <w:t>Valdības parāda vidēja termiņa attīstības tendences</w:t>
      </w:r>
      <w:bookmarkEnd w:id="10"/>
    </w:p>
    <w:p w14:paraId="29441C07" w14:textId="1F7FCA8E" w:rsidR="0009609E" w:rsidRPr="0009609E" w:rsidRDefault="0009609E" w:rsidP="002D6792">
      <w:pPr>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 xml:space="preserve">Saskaņā ar valsts budžeta deficīta un parāda 2015.gada aprīļa notifikācijas datiem, kuri sagatavoti atbilstoši </w:t>
      </w:r>
      <w:r w:rsidR="002D6792">
        <w:rPr>
          <w:rFonts w:ascii="Times New Roman" w:eastAsia="Times New Roman" w:hAnsi="Times New Roman" w:cs="Times New Roman"/>
          <w:sz w:val="24"/>
          <w:szCs w:val="24"/>
        </w:rPr>
        <w:t>EKS 2010</w:t>
      </w:r>
      <w:r w:rsidRPr="0009609E">
        <w:rPr>
          <w:rFonts w:ascii="Times New Roman" w:eastAsia="Times New Roman" w:hAnsi="Times New Roman" w:cs="Times New Roman"/>
          <w:sz w:val="24"/>
          <w:szCs w:val="24"/>
        </w:rPr>
        <w:t xml:space="preserve"> metodoloģijai, vispārējās valdības parāds 2014.gada beigās sasniedza 9 633,2 milj.</w:t>
      </w:r>
      <w:r w:rsidR="002D6792">
        <w:rPr>
          <w:rFonts w:ascii="Times New Roman" w:eastAsia="Times New Roman" w:hAnsi="Times New Roman" w:cs="Times New Roman"/>
          <w:sz w:val="24"/>
          <w:szCs w:val="24"/>
        </w:rPr>
        <w:t xml:space="preserve">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jeb 40,0% no </w:t>
      </w:r>
      <w:r w:rsidR="002D6792">
        <w:rPr>
          <w:rFonts w:ascii="Times New Roman" w:eastAsia="Times New Roman" w:hAnsi="Times New Roman" w:cs="Times New Roman"/>
          <w:sz w:val="24"/>
          <w:szCs w:val="24"/>
        </w:rPr>
        <w:t>IKP</w:t>
      </w:r>
      <w:r w:rsidRPr="0009609E">
        <w:rPr>
          <w:rFonts w:ascii="Times New Roman" w:eastAsia="Times New Roman" w:hAnsi="Times New Roman" w:cs="Times New Roman"/>
          <w:sz w:val="24"/>
          <w:szCs w:val="24"/>
        </w:rPr>
        <w:t>. Vispārējās valdības parāda līmeni galvenokārt ietekmē valsts parāds, kas uz 2014.gada beigām bija 9 012,3 milj.</w:t>
      </w:r>
      <w:r w:rsidR="002D6792">
        <w:rPr>
          <w:rFonts w:ascii="Times New Roman" w:eastAsia="Times New Roman" w:hAnsi="Times New Roman" w:cs="Times New Roman"/>
          <w:sz w:val="24"/>
          <w:szCs w:val="24"/>
        </w:rPr>
        <w:t xml:space="preserve">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w:t>
      </w:r>
    </w:p>
    <w:p w14:paraId="34F3FE3A" w14:textId="1A287C44" w:rsidR="0009609E" w:rsidRPr="0009609E" w:rsidRDefault="0009609E" w:rsidP="002D6792">
      <w:pPr>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 xml:space="preserve">Valsts parāda vadības pamatprincipus un uzdevumus vidējam termiņam nosaka Valsts parāda vadības stratēģija, kuru apstiprina finanšu ministrs. Saskaņā ar Valsts parāda vadības stratēģiju valsts parāda vadības mērķis ir nodrošināt nepieciešamos finanšu resursus valsts parāda pārfinansēšanai, valsts budžeta izpildei un finanšu resursu rezerves uzturēšanai ar iespējami zemākām izmaksām, ierobežojot finanšu riskus un ņemot vērā Latvijas valsts makroekonomikas attīstību un finanšu tirgus integrāciju kopējā </w:t>
      </w:r>
      <w:r w:rsidR="002D6792" w:rsidRPr="0009609E">
        <w:rPr>
          <w:rFonts w:ascii="Times New Roman" w:eastAsia="Times New Roman" w:hAnsi="Times New Roman" w:cs="Times New Roman"/>
          <w:i/>
          <w:sz w:val="24"/>
          <w:szCs w:val="24"/>
        </w:rPr>
        <w:t>euro</w:t>
      </w:r>
      <w:r w:rsidR="002D6792" w:rsidRPr="0009609E">
        <w:rPr>
          <w:rFonts w:ascii="Times New Roman" w:eastAsia="Times New Roman" w:hAnsi="Times New Roman" w:cs="Times New Roman"/>
          <w:sz w:val="24"/>
          <w:szCs w:val="24"/>
        </w:rPr>
        <w:t xml:space="preserve"> </w:t>
      </w:r>
      <w:r w:rsidRPr="0009609E">
        <w:rPr>
          <w:rFonts w:ascii="Times New Roman" w:eastAsia="Times New Roman" w:hAnsi="Times New Roman" w:cs="Times New Roman"/>
          <w:sz w:val="24"/>
          <w:szCs w:val="24"/>
        </w:rPr>
        <w:t>zonas finanšu tirgū.</w:t>
      </w:r>
    </w:p>
    <w:p w14:paraId="0F6CCE11" w14:textId="77777777" w:rsidR="0009609E" w:rsidRPr="0009609E" w:rsidRDefault="0009609E" w:rsidP="002D6792">
      <w:pPr>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Aizņemšanās apjomu un valsts parāda līmeni vidējā termiņā ietekmē kopējā finansēšanas nepieciešamība, kuru galvenokārt veido valsts budžeta izpildes nodrošināšanai un valsts parāda saistību atmaksai attiecīgajā periodā nepieciešamais resursu apjoms. Valsts parāda un budžeta saistību izpildē tiek izmantota stratēģiska pieeja valsts aizņemšanās un parāda vadības procesa nodrošināšanā, saglabājot pēc iespējas lielāku elastību finanšu tirgos veicamo aizņēmumu nosacījumu (aizņemšanās laiks, valūta, apjoms, termiņš) izvēlē. Tas ļauj ierobežot finanšu riskus vidējā termiņā, kā arī nodrošināt kopējās finansēšanas nepieciešamības segšanai nepieciešamos resursus ar pēc iespējas labvēlīgākiem un izdevīgākiem nosacījumiem.</w:t>
      </w:r>
    </w:p>
    <w:p w14:paraId="5C2A113B" w14:textId="54F0D075" w:rsidR="0009609E" w:rsidRPr="0009609E" w:rsidRDefault="0009609E" w:rsidP="002D6792">
      <w:pPr>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 xml:space="preserve">2014.gadā Latvija pēc vairāku gadu pārtraukuma atgriezās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finanšu tirgos, </w:t>
      </w:r>
      <w:r w:rsidR="00716665">
        <w:rPr>
          <w:rFonts w:ascii="Times New Roman" w:eastAsia="Times New Roman" w:hAnsi="Times New Roman" w:cs="Times New Roman"/>
          <w:sz w:val="24"/>
          <w:szCs w:val="24"/>
        </w:rPr>
        <w:t>VK</w:t>
      </w:r>
      <w:r w:rsidRPr="0009609E">
        <w:rPr>
          <w:rFonts w:ascii="Times New Roman" w:eastAsia="Times New Roman" w:hAnsi="Times New Roman" w:cs="Times New Roman"/>
          <w:sz w:val="24"/>
          <w:szCs w:val="24"/>
        </w:rPr>
        <w:t xml:space="preserve"> organizējot divas etalona vērtspapīru emisijas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valūtā. 2014.gada janvārī tika emitētas 7 gadu obligācijas 1 mljrd.</w:t>
      </w:r>
      <w:r w:rsidR="002D6792">
        <w:rPr>
          <w:rFonts w:ascii="Times New Roman" w:eastAsia="Times New Roman" w:hAnsi="Times New Roman" w:cs="Times New Roman"/>
          <w:sz w:val="24"/>
          <w:szCs w:val="24"/>
        </w:rPr>
        <w:t xml:space="preserve">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apmērā un aprīlī tika emitētas 10 gadu obligācijas 1 mljrd.</w:t>
      </w:r>
      <w:r w:rsidR="00F1620C">
        <w:rPr>
          <w:rFonts w:ascii="Times New Roman" w:eastAsia="Times New Roman" w:hAnsi="Times New Roman" w:cs="Times New Roman"/>
          <w:sz w:val="24"/>
          <w:szCs w:val="24"/>
        </w:rPr>
        <w:t xml:space="preserve">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apmērā. Eiroobligāciju emisiju rezultātā tika nodrošināti resursi finansēšanas nepieciešamības segšanai, kā arī ekonomiskās krīzes laikā Latvijai piešķirtā starptautiskā aizdevuma daļas kārtējai atmaksai (2014.gada 25.martā </w:t>
      </w:r>
      <w:r w:rsidR="002D6792">
        <w:rPr>
          <w:rFonts w:ascii="Times New Roman" w:eastAsia="Times New Roman" w:hAnsi="Times New Roman" w:cs="Times New Roman"/>
          <w:sz w:val="24"/>
          <w:szCs w:val="24"/>
        </w:rPr>
        <w:t>EK</w:t>
      </w:r>
      <w:r w:rsidRPr="0009609E">
        <w:rPr>
          <w:rFonts w:ascii="Times New Roman" w:eastAsia="Times New Roman" w:hAnsi="Times New Roman" w:cs="Times New Roman"/>
          <w:sz w:val="24"/>
          <w:szCs w:val="24"/>
        </w:rPr>
        <w:t xml:space="preserve"> tika atmaksāta aizdevuma daļa 1 mljrd.</w:t>
      </w:r>
      <w:r w:rsidR="002D6792">
        <w:rPr>
          <w:rFonts w:ascii="Times New Roman" w:eastAsia="Times New Roman" w:hAnsi="Times New Roman" w:cs="Times New Roman"/>
          <w:sz w:val="24"/>
          <w:szCs w:val="24"/>
        </w:rPr>
        <w:t xml:space="preserve">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apmērā un 2015.gada 16.janvārī otrā daļa 1,2 mljrd.</w:t>
      </w:r>
      <w:r w:rsidR="002D6792">
        <w:rPr>
          <w:rFonts w:ascii="Times New Roman" w:eastAsia="Times New Roman" w:hAnsi="Times New Roman" w:cs="Times New Roman"/>
          <w:sz w:val="24"/>
          <w:szCs w:val="24"/>
        </w:rPr>
        <w:t xml:space="preserve">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apmērā). Abas eiroobligāciju emisijas veiktas vidēja termiņa aizņemšanās stratēģijas ietvaros, savlaicīgi nodrošinot resursus finansēšanas nepieciešamības segšanai, t.sk. apjoma ziņā lielāko valsts parāda saistību izpildei 2014. un 2015.gadā. Ekonomiskā izaugsme, pievienošanās </w:t>
      </w:r>
      <w:r w:rsidR="002D6792" w:rsidRPr="0009609E">
        <w:rPr>
          <w:rFonts w:ascii="Times New Roman" w:eastAsia="Times New Roman" w:hAnsi="Times New Roman" w:cs="Times New Roman"/>
          <w:i/>
          <w:sz w:val="24"/>
          <w:szCs w:val="24"/>
        </w:rPr>
        <w:t>euro</w:t>
      </w:r>
      <w:r w:rsidR="002D6792" w:rsidRPr="0009609E">
        <w:rPr>
          <w:rFonts w:ascii="Times New Roman" w:eastAsia="Times New Roman" w:hAnsi="Times New Roman" w:cs="Times New Roman"/>
          <w:sz w:val="24"/>
          <w:szCs w:val="24"/>
        </w:rPr>
        <w:t xml:space="preserve"> </w:t>
      </w:r>
      <w:r w:rsidRPr="0009609E">
        <w:rPr>
          <w:rFonts w:ascii="Times New Roman" w:eastAsia="Times New Roman" w:hAnsi="Times New Roman" w:cs="Times New Roman"/>
          <w:sz w:val="24"/>
          <w:szCs w:val="24"/>
        </w:rPr>
        <w:t xml:space="preserve">zonai, saņemtie Latvijas kredītreitingu uzlabojumi, investoru augstais novērtējums par paveikto Latvijas valsts ekonomikā iepriekšējos gados un ticība Latvijas attīstībai ilgtermiņā ir ļāvuši aizņemties finanšu resursus starptautiskajos tirgos ar labvēlīgiem nosacījumiem. </w:t>
      </w:r>
    </w:p>
    <w:p w14:paraId="54E3E0F8" w14:textId="77777777" w:rsidR="0009609E" w:rsidRPr="0009609E" w:rsidRDefault="0009609E" w:rsidP="002D6792">
      <w:pPr>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 xml:space="preserve">Iekšējā finanšu tirgū tika turpinātas regulāras valsts iekšējā aizņēmuma vērtspapīru izsoles, 2014.gadā investoriem izsolēs piedāvājot gan parādzīmes, gan obligācijas. Ar mērķi sekmēt valsts vērtspapīru tirgus attīstību un otrreizējā tirgus aktivitāti no 2013.gada februāra darbojas primāro dīleru sistēma. Savukārt, lai veicinātu privātpersonu ieguldījumus iekšzemes finanšu tirgus instrumentos, kopš 2013.gada jūnija Latvijas iedzīvotājiem (tikai fiziskām personām) ir pieejamas valsts emitētās krājobligācijas. </w:t>
      </w:r>
    </w:p>
    <w:p w14:paraId="4CC33A63" w14:textId="0CD7A440" w:rsidR="00B51DE5" w:rsidRDefault="0009609E" w:rsidP="00B51DE5">
      <w:pPr>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Ņemot vērā līdz 2015.gada 28.februārim uzņemtās valsts parāda saistības, saskaņā ar valsts parāda atmaksas grafiku 2015.gada martā – 2017.gada decembrī jāpārfinansē valsts parāda saistības ~1,8 mljrd.</w:t>
      </w:r>
      <w:r w:rsidR="002D6792">
        <w:rPr>
          <w:rFonts w:ascii="Times New Roman" w:eastAsia="Times New Roman" w:hAnsi="Times New Roman" w:cs="Times New Roman"/>
          <w:sz w:val="24"/>
          <w:szCs w:val="24"/>
        </w:rPr>
        <w:t xml:space="preserve">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apmērā</w:t>
      </w:r>
      <w:r w:rsidR="00142A2C">
        <w:rPr>
          <w:rFonts w:ascii="Times New Roman" w:eastAsia="Times New Roman" w:hAnsi="Times New Roman" w:cs="Times New Roman"/>
          <w:sz w:val="24"/>
          <w:szCs w:val="24"/>
        </w:rPr>
        <w:t xml:space="preserve">. </w:t>
      </w:r>
      <w:r w:rsidRPr="0009609E">
        <w:rPr>
          <w:rFonts w:ascii="Times New Roman" w:eastAsia="Times New Roman" w:hAnsi="Times New Roman" w:cs="Times New Roman"/>
          <w:sz w:val="24"/>
          <w:szCs w:val="24"/>
        </w:rPr>
        <w:t xml:space="preserve">Ievērojamu daļu no pārfinansējamā parāda apjoma veido starptautiskajos finanšu tirgos emitētās eiroobligācijas un starptautiskā aizņēmuma programmas ietvaros saņemtais finansējums no </w:t>
      </w:r>
      <w:r w:rsidR="002D6792">
        <w:rPr>
          <w:rFonts w:ascii="Times New Roman" w:eastAsia="Times New Roman" w:hAnsi="Times New Roman" w:cs="Times New Roman"/>
          <w:sz w:val="24"/>
          <w:szCs w:val="24"/>
        </w:rPr>
        <w:t>P</w:t>
      </w:r>
      <w:r w:rsidR="00716665">
        <w:rPr>
          <w:rFonts w:ascii="Times New Roman" w:eastAsia="Times New Roman" w:hAnsi="Times New Roman" w:cs="Times New Roman"/>
          <w:sz w:val="24"/>
          <w:szCs w:val="24"/>
        </w:rPr>
        <w:t xml:space="preserve">asaules </w:t>
      </w:r>
      <w:r w:rsidR="002D6792">
        <w:rPr>
          <w:rFonts w:ascii="Times New Roman" w:eastAsia="Times New Roman" w:hAnsi="Times New Roman" w:cs="Times New Roman"/>
          <w:sz w:val="24"/>
          <w:szCs w:val="24"/>
        </w:rPr>
        <w:t>B</w:t>
      </w:r>
      <w:r w:rsidR="00716665">
        <w:rPr>
          <w:rFonts w:ascii="Times New Roman" w:eastAsia="Times New Roman" w:hAnsi="Times New Roman" w:cs="Times New Roman"/>
          <w:sz w:val="24"/>
          <w:szCs w:val="24"/>
        </w:rPr>
        <w:t>ankas</w:t>
      </w:r>
      <w:r w:rsidRPr="0009609E">
        <w:rPr>
          <w:rFonts w:ascii="Times New Roman" w:eastAsia="Times New Roman" w:hAnsi="Times New Roman" w:cs="Times New Roman"/>
          <w:sz w:val="24"/>
          <w:szCs w:val="24"/>
        </w:rPr>
        <w:t xml:space="preserve">. </w:t>
      </w:r>
    </w:p>
    <w:p w14:paraId="53818C84" w14:textId="77777777" w:rsidR="0009609E" w:rsidRPr="0009609E" w:rsidRDefault="0009609E" w:rsidP="0009609E">
      <w:pPr>
        <w:spacing w:after="0" w:line="240" w:lineRule="auto"/>
        <w:jc w:val="center"/>
        <w:rPr>
          <w:rFonts w:ascii="Times New Roman" w:eastAsia="Times New Roman" w:hAnsi="Times New Roman" w:cs="Times New Roman"/>
          <w:b/>
          <w:sz w:val="24"/>
          <w:szCs w:val="24"/>
        </w:rPr>
      </w:pPr>
      <w:r w:rsidRPr="0009609E">
        <w:rPr>
          <w:rFonts w:ascii="Times New Roman" w:eastAsia="Times New Roman" w:hAnsi="Times New Roman" w:cs="Times New Roman"/>
          <w:b/>
          <w:noProof/>
          <w:sz w:val="24"/>
          <w:szCs w:val="24"/>
          <w:lang w:eastAsia="lv-LV"/>
        </w:rPr>
        <w:drawing>
          <wp:inline distT="0" distB="0" distL="0" distR="0" wp14:anchorId="4EF8D286" wp14:editId="3AB142B6">
            <wp:extent cx="6075875" cy="182880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79610" cy="1829924"/>
                    </a:xfrm>
                    <a:prstGeom prst="rect">
                      <a:avLst/>
                    </a:prstGeom>
                    <a:noFill/>
                  </pic:spPr>
                </pic:pic>
              </a:graphicData>
            </a:graphic>
          </wp:inline>
        </w:drawing>
      </w:r>
    </w:p>
    <w:p w14:paraId="2BF88284" w14:textId="77777777" w:rsidR="0009609E" w:rsidRPr="0009609E" w:rsidRDefault="0009609E" w:rsidP="0009609E">
      <w:pPr>
        <w:spacing w:after="0" w:line="240" w:lineRule="auto"/>
        <w:jc w:val="both"/>
        <w:rPr>
          <w:rFonts w:ascii="Times New Roman" w:eastAsia="Times New Roman" w:hAnsi="Times New Roman" w:cs="Times New Roman"/>
          <w:i/>
          <w:sz w:val="20"/>
          <w:szCs w:val="24"/>
        </w:rPr>
      </w:pPr>
      <w:r w:rsidRPr="0009609E">
        <w:rPr>
          <w:rFonts w:ascii="Times New Roman" w:eastAsia="Times New Roman" w:hAnsi="Times New Roman" w:cs="Times New Roman"/>
          <w:i/>
          <w:sz w:val="20"/>
          <w:szCs w:val="24"/>
        </w:rPr>
        <w:t>* nav iekļauti sektori S130130, S130140, S130330, S130340, kā arī pieprasījuma un īstermiņa noguldījumi</w:t>
      </w:r>
    </w:p>
    <w:p w14:paraId="77B3BE44" w14:textId="77777777" w:rsidR="0009609E" w:rsidRDefault="0009609E" w:rsidP="0009609E">
      <w:pPr>
        <w:spacing w:after="0" w:line="240" w:lineRule="auto"/>
        <w:jc w:val="both"/>
        <w:rPr>
          <w:rFonts w:ascii="Times New Roman" w:eastAsia="Times New Roman" w:hAnsi="Times New Roman" w:cs="Times New Roman"/>
          <w:i/>
          <w:sz w:val="20"/>
          <w:szCs w:val="24"/>
        </w:rPr>
      </w:pPr>
      <w:r w:rsidRPr="0009609E">
        <w:rPr>
          <w:rFonts w:ascii="Times New Roman" w:eastAsia="Times New Roman" w:hAnsi="Times New Roman" w:cs="Times New Roman"/>
          <w:i/>
          <w:sz w:val="20"/>
          <w:szCs w:val="24"/>
        </w:rPr>
        <w:t xml:space="preserve">   aprēķinos tika izmantoti ECB 31.12.2014. noteiktie valūtu kursi</w:t>
      </w:r>
    </w:p>
    <w:p w14:paraId="385E3950" w14:textId="59C5C041" w:rsidR="004C6CC5" w:rsidRPr="00142A2C" w:rsidRDefault="00142A2C" w:rsidP="004C6CC5">
      <w:pPr>
        <w:spacing w:after="0" w:line="240" w:lineRule="auto"/>
        <w:jc w:val="center"/>
        <w:rPr>
          <w:rFonts w:ascii="Times New Roman" w:eastAsia="Times New Roman" w:hAnsi="Times New Roman" w:cs="Times New Roman"/>
          <w:b/>
          <w:sz w:val="24"/>
          <w:szCs w:val="24"/>
        </w:rPr>
      </w:pPr>
      <w:r w:rsidRPr="00142A2C">
        <w:rPr>
          <w:rFonts w:ascii="Times New Roman" w:eastAsia="Times New Roman" w:hAnsi="Times New Roman" w:cs="Times New Roman"/>
          <w:b/>
          <w:sz w:val="24"/>
          <w:szCs w:val="24"/>
        </w:rPr>
        <w:t>3.7.</w:t>
      </w:r>
      <w:r w:rsidR="004C6CC5" w:rsidRPr="00142A2C">
        <w:rPr>
          <w:rFonts w:ascii="Times New Roman" w:eastAsia="Times New Roman" w:hAnsi="Times New Roman" w:cs="Times New Roman"/>
          <w:b/>
          <w:sz w:val="24"/>
          <w:szCs w:val="24"/>
        </w:rPr>
        <w:t>attēls. Centrālās valdības aizņēmumu atmaksas grafiks</w:t>
      </w:r>
    </w:p>
    <w:p w14:paraId="11C97A5F" w14:textId="77777777" w:rsidR="004C6CC5" w:rsidRPr="00142A2C" w:rsidRDefault="004C6CC5" w:rsidP="004C6CC5">
      <w:pPr>
        <w:spacing w:after="120" w:line="240" w:lineRule="auto"/>
        <w:jc w:val="center"/>
        <w:rPr>
          <w:rFonts w:ascii="Times New Roman" w:eastAsia="Times New Roman" w:hAnsi="Times New Roman" w:cs="Times New Roman"/>
          <w:szCs w:val="24"/>
        </w:rPr>
      </w:pPr>
      <w:r w:rsidRPr="00142A2C">
        <w:rPr>
          <w:rFonts w:ascii="Times New Roman" w:eastAsia="Times New Roman" w:hAnsi="Times New Roman" w:cs="Times New Roman"/>
          <w:szCs w:val="24"/>
        </w:rPr>
        <w:t>(līdz 2015.gada 28.februārim uzņemtās saistības, nominālvērtībā)</w:t>
      </w:r>
    </w:p>
    <w:p w14:paraId="56670557" w14:textId="77777777" w:rsidR="0009609E" w:rsidRPr="0009609E" w:rsidRDefault="0009609E" w:rsidP="0009609E">
      <w:pPr>
        <w:spacing w:after="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Saskaņā ar vidējā termiņa aizņemšanās stratēģiju, kopējās finansēšanas nepieciešamības segšanai vidējā termiņā plānots veikt šādus pasākumus aizņemšanās jomā:</w:t>
      </w:r>
    </w:p>
    <w:p w14:paraId="4944AEAD" w14:textId="77777777" w:rsidR="0009609E" w:rsidRPr="002D6792" w:rsidRDefault="0009609E" w:rsidP="008920E5">
      <w:pPr>
        <w:pStyle w:val="ListParagraph"/>
        <w:numPr>
          <w:ilvl w:val="0"/>
          <w:numId w:val="22"/>
        </w:numPr>
        <w:spacing w:after="0" w:line="240" w:lineRule="auto"/>
        <w:ind w:left="1134"/>
        <w:jc w:val="both"/>
        <w:rPr>
          <w:rFonts w:ascii="Times New Roman" w:eastAsia="Times New Roman" w:hAnsi="Times New Roman" w:cs="Times New Roman"/>
          <w:sz w:val="24"/>
          <w:szCs w:val="24"/>
        </w:rPr>
      </w:pPr>
      <w:r w:rsidRPr="002D6792">
        <w:rPr>
          <w:rFonts w:ascii="Times New Roman" w:eastAsia="Times New Roman" w:hAnsi="Times New Roman" w:cs="Times New Roman"/>
          <w:sz w:val="24"/>
          <w:szCs w:val="24"/>
        </w:rPr>
        <w:t>turpināt aizņemšanos starptautiskajos finanšu tirgos, galvenokārt organizējot regulāras publiskas valsts parāda vērtspapīru emisijas, lai nodrošinātu valsts parāda saistību pārfinansēšanu ar aizņēmumu likmju un termiņu ziņā labvēlīgiem nosacījumiem;</w:t>
      </w:r>
    </w:p>
    <w:p w14:paraId="6AEDF50B" w14:textId="77777777" w:rsidR="0009609E" w:rsidRPr="002D6792" w:rsidRDefault="0009609E" w:rsidP="008920E5">
      <w:pPr>
        <w:pStyle w:val="ListParagraph"/>
        <w:numPr>
          <w:ilvl w:val="0"/>
          <w:numId w:val="22"/>
        </w:numPr>
        <w:spacing w:after="0" w:line="240" w:lineRule="auto"/>
        <w:ind w:left="1134"/>
        <w:jc w:val="both"/>
        <w:rPr>
          <w:rFonts w:ascii="Times New Roman" w:eastAsia="Times New Roman" w:hAnsi="Times New Roman" w:cs="Times New Roman"/>
          <w:sz w:val="24"/>
          <w:szCs w:val="24"/>
        </w:rPr>
      </w:pPr>
      <w:r w:rsidRPr="002D6792">
        <w:rPr>
          <w:rFonts w:ascii="Times New Roman" w:eastAsia="Times New Roman" w:hAnsi="Times New Roman" w:cs="Times New Roman"/>
          <w:sz w:val="24"/>
          <w:szCs w:val="24"/>
        </w:rPr>
        <w:t>nodrošināt valsts vērtspapīru investoru loka diversifikāciju un paplašināšanu, īstenojot regulāru, pastāvīgu dialogu un ilgtermiņa darbu ar investoru sabiedrību un sadarbības partneriem, lai veicinātu dažādu pasaules reģionu investoru aktīvu dalību valsts ārējā aizņēmuma vērtspapīru sākotnējā izvietošanā;</w:t>
      </w:r>
    </w:p>
    <w:p w14:paraId="45DE8ACD" w14:textId="77777777" w:rsidR="0009609E" w:rsidRPr="002D6792" w:rsidRDefault="0009609E" w:rsidP="008920E5">
      <w:pPr>
        <w:pStyle w:val="ListParagraph"/>
        <w:numPr>
          <w:ilvl w:val="0"/>
          <w:numId w:val="22"/>
        </w:numPr>
        <w:spacing w:after="0" w:line="240" w:lineRule="auto"/>
        <w:ind w:left="1134"/>
        <w:jc w:val="both"/>
        <w:rPr>
          <w:rFonts w:ascii="Times New Roman" w:eastAsia="Times New Roman" w:hAnsi="Times New Roman" w:cs="Times New Roman"/>
          <w:sz w:val="24"/>
          <w:szCs w:val="24"/>
        </w:rPr>
      </w:pPr>
      <w:r w:rsidRPr="002D6792">
        <w:rPr>
          <w:rFonts w:ascii="Times New Roman" w:eastAsia="Times New Roman" w:hAnsi="Times New Roman" w:cs="Times New Roman"/>
          <w:sz w:val="24"/>
          <w:szCs w:val="24"/>
        </w:rPr>
        <w:t>veicināt iekšējā finanšu tirgus attīstību un nodrošināt atbilstošas ieguldījumu iespējas iekšzemes finanšu tirgus dalībniekiem, lai pilnvērtīgāk izmantotu aizņemšanās iekšējā finanšu tirgū potenciālu.</w:t>
      </w:r>
    </w:p>
    <w:p w14:paraId="057FB238" w14:textId="77777777" w:rsidR="0009609E" w:rsidRPr="0009609E" w:rsidRDefault="0009609E" w:rsidP="0009609E">
      <w:pPr>
        <w:spacing w:after="0" w:line="240" w:lineRule="auto"/>
        <w:ind w:firstLine="567"/>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Ņemot vērā aizņemšanās stratēģiskos mērķus, kā arī, lai nodrošinātu valsts parāda pārfinansēšanas riska novēršanu un valsts parāda vadības izdevumu optimizēšanu vidējā termiņā, tuvākajos gados tieši ārējā aizņēmuma instrumenti veidos būtiskāko daļu no kopējā piesaistāmā finanšu resursu apjoma. Aizņēmumus starptautiskajos tirgos plānots balstīt uz publiskiem darījumiem globālajos finanšu tirgos, veicot etalona apjoma eiroobligāciju emisijas galvenokārt Eiropas finanšu tirgū, kā arī vēršoties pie citu reģionu investoriem. Iekšējā finanšu tirgū arī turpmāk plānots uzturēt pieprasījumam atbilstošu vērtspapīru piedāvājumu, sekmējot valsts vērtspapīru tirgus aktivitāti primāro dīleru sistēmas ietvaros.</w:t>
      </w:r>
    </w:p>
    <w:p w14:paraId="0EE4B65C" w14:textId="7CE380A7" w:rsidR="0009609E" w:rsidRPr="0009609E" w:rsidRDefault="0009609E" w:rsidP="0009609E">
      <w:pPr>
        <w:spacing w:after="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Veicot savlaicīgus aizņemšanās pasākumus atbilstoši vidējā termiņa stratēģijai, kā arī turpinot īstenot ilgtspējīgu fiskālo politiku, ir iespējams ar likmju un termiņu ziņā labvēlīgiem nosacījumiem pārfinansēt pašreiz uzņemtās valsts parāda saistības, kā arī ilgtermiņā panākt valsts parāda līmeņa samazināšanos un stabilizēšanos ilgtspējīgā līmenī, pārliecinoši ievērojot Māstrihtas līgumā noteikto vispārējās valdība</w:t>
      </w:r>
      <w:r w:rsidR="00142A2C">
        <w:rPr>
          <w:rFonts w:ascii="Times New Roman" w:eastAsia="Times New Roman" w:hAnsi="Times New Roman" w:cs="Times New Roman"/>
          <w:sz w:val="24"/>
          <w:szCs w:val="24"/>
        </w:rPr>
        <w:t>s parāda apjoma kritēriju</w:t>
      </w:r>
      <w:r w:rsidRPr="0009609E">
        <w:rPr>
          <w:rFonts w:ascii="Times New Roman" w:eastAsia="Times New Roman" w:hAnsi="Times New Roman" w:cs="Times New Roman"/>
          <w:sz w:val="24"/>
          <w:szCs w:val="24"/>
        </w:rPr>
        <w:t>.</w:t>
      </w:r>
    </w:p>
    <w:p w14:paraId="77349ABF" w14:textId="77777777" w:rsidR="0009609E" w:rsidRPr="0009609E" w:rsidRDefault="0009609E" w:rsidP="0009609E">
      <w:pPr>
        <w:spacing w:after="0" w:line="240" w:lineRule="auto"/>
        <w:ind w:firstLine="720"/>
        <w:jc w:val="both"/>
        <w:rPr>
          <w:rFonts w:ascii="Times New Roman" w:eastAsia="Times New Roman" w:hAnsi="Times New Roman" w:cs="Times New Roman"/>
          <w:sz w:val="26"/>
          <w:szCs w:val="26"/>
        </w:rPr>
      </w:pPr>
    </w:p>
    <w:p w14:paraId="778B25AD" w14:textId="77777777" w:rsidR="0009609E" w:rsidRPr="0009609E" w:rsidRDefault="0009609E" w:rsidP="0009609E">
      <w:pPr>
        <w:spacing w:after="120" w:line="240" w:lineRule="auto"/>
        <w:jc w:val="center"/>
        <w:rPr>
          <w:rFonts w:ascii="Times New Roman" w:eastAsia="Times New Roman" w:hAnsi="Times New Roman" w:cs="Times New Roman"/>
          <w:b/>
          <w:bCs/>
          <w:sz w:val="26"/>
          <w:szCs w:val="26"/>
        </w:rPr>
      </w:pPr>
      <w:r w:rsidRPr="0009609E">
        <w:rPr>
          <w:rFonts w:ascii="Times New Roman" w:eastAsia="Times New Roman" w:hAnsi="Times New Roman" w:cs="Times New Roman"/>
          <w:noProof/>
          <w:sz w:val="26"/>
          <w:szCs w:val="26"/>
          <w:lang w:eastAsia="lv-LV"/>
        </w:rPr>
        <mc:AlternateContent>
          <mc:Choice Requires="wps">
            <w:drawing>
              <wp:anchor distT="0" distB="0" distL="114300" distR="114300" simplePos="0" relativeHeight="251663360" behindDoc="0" locked="0" layoutInCell="1" allowOverlap="1" wp14:anchorId="3D590667" wp14:editId="1B575F6F">
                <wp:simplePos x="0" y="0"/>
                <wp:positionH relativeFrom="column">
                  <wp:posOffset>261620</wp:posOffset>
                </wp:positionH>
                <wp:positionV relativeFrom="paragraph">
                  <wp:posOffset>2457450</wp:posOffset>
                </wp:positionV>
                <wp:extent cx="1358900" cy="234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34950"/>
                        </a:xfrm>
                        <a:prstGeom prst="rect">
                          <a:avLst/>
                        </a:prstGeom>
                        <a:noFill/>
                        <a:ln w="9525">
                          <a:noFill/>
                          <a:miter lim="800000"/>
                          <a:headEnd/>
                          <a:tailEnd/>
                        </a:ln>
                      </wps:spPr>
                      <wps:txbx>
                        <w:txbxContent>
                          <w:p w14:paraId="03ADBE21" w14:textId="77777777" w:rsidR="000039CF" w:rsidRPr="006C330B" w:rsidRDefault="000039CF" w:rsidP="0009609E">
                            <w:pPr>
                              <w:ind w:firstLine="720"/>
                              <w:rPr>
                                <w:i/>
                                <w:sz w:val="18"/>
                                <w:szCs w:val="26"/>
                              </w:rPr>
                            </w:pPr>
                            <w:r w:rsidRPr="006C330B">
                              <w:rPr>
                                <w:i/>
                                <w:sz w:val="18"/>
                                <w:szCs w:val="26"/>
                              </w:rPr>
                              <w:t>p -prognoze</w:t>
                            </w:r>
                          </w:p>
                          <w:p w14:paraId="3B63A7A5" w14:textId="77777777" w:rsidR="000039CF" w:rsidRDefault="000039CF" w:rsidP="00096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590667" id="Text Box 2" o:spid="_x0000_s1031" type="#_x0000_t202" style="position:absolute;left:0;text-align:left;margin-left:20.6pt;margin-top:193.5pt;width:107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" filled="f" stroked="f">
                <v:textbox>
                  <w:txbxContent>
                    <w:p w14:paraId="03ADBE21" w14:textId="77777777" w:rsidR="000039CF" w:rsidRPr="006C330B" w:rsidRDefault="000039CF" w:rsidP="0009609E">
                      <w:pPr>
                        <w:ind w:firstLine="720"/>
                        <w:rPr>
                          <w:i/>
                          <w:sz w:val="18"/>
                          <w:szCs w:val="26"/>
                        </w:rPr>
                      </w:pPr>
                      <w:r w:rsidRPr="006C330B">
                        <w:rPr>
                          <w:i/>
                          <w:sz w:val="18"/>
                          <w:szCs w:val="26"/>
                        </w:rPr>
                        <w:t>p -prognoze</w:t>
                      </w:r>
                    </w:p>
                    <w:p w14:paraId="3B63A7A5" w14:textId="77777777" w:rsidR="000039CF" w:rsidRDefault="000039CF" w:rsidP="0009609E"/>
                  </w:txbxContent>
                </v:textbox>
              </v:shape>
            </w:pict>
          </mc:Fallback>
        </mc:AlternateContent>
      </w:r>
      <w:r w:rsidRPr="0009609E">
        <w:rPr>
          <w:rFonts w:ascii="Times New Roman" w:eastAsia="Times New Roman" w:hAnsi="Times New Roman" w:cs="Times New Roman"/>
          <w:noProof/>
          <w:sz w:val="28"/>
          <w:szCs w:val="20"/>
          <w:lang w:eastAsia="lv-LV"/>
        </w:rPr>
        <mc:AlternateContent>
          <mc:Choice Requires="wps">
            <w:drawing>
              <wp:anchor distT="0" distB="0" distL="114300" distR="114300" simplePos="0" relativeHeight="251662336" behindDoc="0" locked="0" layoutInCell="1" allowOverlap="1" wp14:anchorId="01F4D9C7" wp14:editId="29536077">
                <wp:simplePos x="0" y="0"/>
                <wp:positionH relativeFrom="column">
                  <wp:posOffset>1758315</wp:posOffset>
                </wp:positionH>
                <wp:positionV relativeFrom="paragraph">
                  <wp:posOffset>235585</wp:posOffset>
                </wp:positionV>
                <wp:extent cx="2635250" cy="295275"/>
                <wp:effectExtent l="0" t="0" r="0" b="0"/>
                <wp:wrapNone/>
                <wp:docPr id="6" name="TextBox 1"/>
                <wp:cNvGraphicFramePr/>
                <a:graphic xmlns:a="http://schemas.openxmlformats.org/drawingml/2006/main">
                  <a:graphicData uri="http://schemas.microsoft.com/office/word/2010/wordprocessingShape">
                    <wps:wsp>
                      <wps:cNvSpPr txBox="1"/>
                      <wps:spPr>
                        <a:xfrm>
                          <a:off x="0" y="0"/>
                          <a:ext cx="2635250" cy="295275"/>
                        </a:xfrm>
                        <a:prstGeom prst="rect">
                          <a:avLst/>
                        </a:prstGeom>
                      </wps:spPr>
                      <wps:txbx>
                        <w:txbxContent>
                          <w:p w14:paraId="0E00BF49" w14:textId="77777777" w:rsidR="000039CF" w:rsidRPr="006C330B" w:rsidRDefault="000039CF" w:rsidP="0009609E">
                            <w:pPr>
                              <w:pStyle w:val="NormalWeb"/>
                              <w:spacing w:before="0" w:beforeAutospacing="0" w:after="0" w:afterAutospacing="0"/>
                              <w:jc w:val="center"/>
                              <w:rPr>
                                <w:sz w:val="18"/>
                              </w:rPr>
                            </w:pPr>
                            <w:r w:rsidRPr="0009609E">
                              <w:rPr>
                                <w:rFonts w:ascii="Calibri" w:hAnsi="Calibri"/>
                                <w:b/>
                                <w:bCs/>
                                <w:color w:val="A30046"/>
                                <w:sz w:val="20"/>
                                <w:szCs w:val="28"/>
                              </w:rPr>
                              <w:t>Māstrihtas kritērijs</w:t>
                            </w:r>
                          </w:p>
                        </w:txbxContent>
                      </wps:txbx>
                      <wps:bodyPr wrap="square" rtlCol="0"/>
                    </wps:wsp>
                  </a:graphicData>
                </a:graphic>
              </wp:anchor>
            </w:drawing>
          </mc:Choice>
          <mc:Fallback xmlns:w15="http://schemas.microsoft.com/office/word/2012/wordml">
            <w:pict>
              <v:shape w14:anchorId="01F4D9C7" id="TextBox 1" o:spid="_x0000_s1032" type="#_x0000_t202" style="position:absolute;left:0;text-align:left;margin-left:138.45pt;margin-top:18.55pt;width:207.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" filled="f" stroked="f">
                <v:textbox>
                  <w:txbxContent>
                    <w:p w14:paraId="0E00BF49" w14:textId="77777777" w:rsidR="000039CF" w:rsidRPr="006C330B" w:rsidRDefault="000039CF" w:rsidP="0009609E">
                      <w:pPr>
                        <w:pStyle w:val="NormalWeb"/>
                        <w:spacing w:before="0" w:beforeAutospacing="0" w:after="0" w:afterAutospacing="0"/>
                        <w:jc w:val="center"/>
                        <w:rPr>
                          <w:sz w:val="18"/>
                        </w:rPr>
                      </w:pPr>
                      <w:r w:rsidRPr="0009609E">
                        <w:rPr>
                          <w:rFonts w:ascii="Calibri" w:hAnsi="Calibri"/>
                          <w:b/>
                          <w:bCs/>
                          <w:color w:val="A30046"/>
                          <w:sz w:val="20"/>
                          <w:szCs w:val="28"/>
                        </w:rPr>
                        <w:t>Māstrihtas kritērijs</w:t>
                      </w:r>
                    </w:p>
                  </w:txbxContent>
                </v:textbox>
              </v:shape>
            </w:pict>
          </mc:Fallback>
        </mc:AlternateContent>
      </w:r>
      <w:r w:rsidRPr="0009609E">
        <w:rPr>
          <w:rFonts w:ascii="Times New Roman" w:eastAsia="Times New Roman" w:hAnsi="Times New Roman" w:cs="Times New Roman"/>
          <w:b/>
          <w:bCs/>
          <w:noProof/>
          <w:sz w:val="26"/>
          <w:szCs w:val="26"/>
          <w:lang w:eastAsia="lv-LV"/>
        </w:rPr>
        <w:drawing>
          <wp:inline distT="0" distB="0" distL="0" distR="0" wp14:anchorId="7EA87F69" wp14:editId="212CC93F">
            <wp:extent cx="4491363" cy="25908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0720" cy="2590429"/>
                    </a:xfrm>
                    <a:prstGeom prst="rect">
                      <a:avLst/>
                    </a:prstGeom>
                    <a:noFill/>
                  </pic:spPr>
                </pic:pic>
              </a:graphicData>
            </a:graphic>
          </wp:inline>
        </w:drawing>
      </w:r>
    </w:p>
    <w:p w14:paraId="3D75D9D3" w14:textId="77777777" w:rsidR="00142A2C" w:rsidRPr="00142A2C" w:rsidRDefault="00142A2C" w:rsidP="00142A2C">
      <w:pPr>
        <w:spacing w:after="120" w:line="240" w:lineRule="auto"/>
        <w:jc w:val="center"/>
        <w:rPr>
          <w:rFonts w:ascii="Times New Roman" w:eastAsia="Times New Roman" w:hAnsi="Times New Roman" w:cs="Times New Roman"/>
          <w:b/>
          <w:sz w:val="24"/>
          <w:szCs w:val="26"/>
        </w:rPr>
      </w:pPr>
      <w:r w:rsidRPr="00142A2C">
        <w:rPr>
          <w:rFonts w:ascii="Times New Roman" w:eastAsia="Times New Roman" w:hAnsi="Times New Roman" w:cs="Times New Roman"/>
          <w:b/>
          <w:sz w:val="24"/>
          <w:szCs w:val="26"/>
        </w:rPr>
        <w:t>3.8.attēls. Vispārējās valdības parāda attīstības tendences (% no IKP)</w:t>
      </w:r>
    </w:p>
    <w:p w14:paraId="303151B0" w14:textId="77777777" w:rsidR="0009609E" w:rsidRPr="0009609E" w:rsidRDefault="0009609E" w:rsidP="0009609E">
      <w:pPr>
        <w:spacing w:after="120" w:line="240" w:lineRule="auto"/>
        <w:ind w:firstLine="720"/>
        <w:jc w:val="both"/>
        <w:rPr>
          <w:rFonts w:ascii="Times New Roman" w:eastAsia="Times New Roman" w:hAnsi="Times New Roman" w:cs="Times New Roman"/>
          <w:sz w:val="26"/>
          <w:szCs w:val="26"/>
        </w:rPr>
      </w:pPr>
    </w:p>
    <w:p w14:paraId="6F179FE1" w14:textId="77777777" w:rsidR="0009609E" w:rsidRPr="0009609E" w:rsidRDefault="0009609E" w:rsidP="0009609E"/>
    <w:p w14:paraId="785D7DDC" w14:textId="77777777" w:rsidR="005536A9" w:rsidRPr="00F51615" w:rsidRDefault="005536A9">
      <w:pPr>
        <w:rPr>
          <w:rFonts w:ascii="Times New Roman" w:eastAsiaTheme="majorEastAsia" w:hAnsi="Times New Roman" w:cs="Times New Roman"/>
          <w:b/>
          <w:bCs/>
          <w:smallCaps/>
          <w:color w:val="000000" w:themeColor="text1"/>
          <w:sz w:val="32"/>
          <w:szCs w:val="36"/>
        </w:rPr>
      </w:pPr>
      <w:r w:rsidRPr="00F51615">
        <w:rPr>
          <w:rFonts w:ascii="Times New Roman" w:hAnsi="Times New Roman" w:cs="Times New Roman"/>
          <w:sz w:val="32"/>
        </w:rPr>
        <w:br w:type="page"/>
      </w:r>
    </w:p>
    <w:p w14:paraId="35B25C54" w14:textId="77777777" w:rsidR="005536A9" w:rsidRPr="00F51615" w:rsidRDefault="005536A9" w:rsidP="00F512CA">
      <w:pPr>
        <w:pStyle w:val="Heading1"/>
        <w:numPr>
          <w:ilvl w:val="0"/>
          <w:numId w:val="1"/>
        </w:numPr>
        <w:ind w:left="284" w:hanging="283"/>
        <w:jc w:val="center"/>
        <w:rPr>
          <w:rFonts w:ascii="Times New Roman" w:hAnsi="Times New Roman" w:cs="Times New Roman"/>
          <w:sz w:val="32"/>
        </w:rPr>
      </w:pPr>
      <w:bookmarkStart w:id="11" w:name="_Toc416279072"/>
      <w:r w:rsidRPr="00F51615">
        <w:rPr>
          <w:rFonts w:ascii="Times New Roman" w:hAnsi="Times New Roman" w:cs="Times New Roman"/>
          <w:sz w:val="32"/>
        </w:rPr>
        <w:t>Jutīguma analīze un salīdzinājums</w:t>
      </w:r>
      <w:bookmarkEnd w:id="11"/>
    </w:p>
    <w:p w14:paraId="168CE2A7" w14:textId="77777777" w:rsidR="00A34463" w:rsidRDefault="00A34463" w:rsidP="002D6792">
      <w:pPr>
        <w:pStyle w:val="Heading2"/>
        <w:numPr>
          <w:ilvl w:val="1"/>
          <w:numId w:val="1"/>
        </w:numPr>
        <w:spacing w:after="120"/>
        <w:ind w:left="709"/>
        <w:rPr>
          <w:rFonts w:ascii="Times New Roman" w:hAnsi="Times New Roman" w:cs="Times New Roman"/>
          <w:sz w:val="24"/>
        </w:rPr>
      </w:pPr>
      <w:bookmarkStart w:id="12" w:name="_Toc416279073"/>
      <w:r w:rsidRPr="00F51615">
        <w:rPr>
          <w:rFonts w:ascii="Times New Roman" w:hAnsi="Times New Roman" w:cs="Times New Roman"/>
          <w:sz w:val="24"/>
        </w:rPr>
        <w:t>Makroekonomiskā scenārija riski</w:t>
      </w:r>
      <w:bookmarkEnd w:id="12"/>
    </w:p>
    <w:p w14:paraId="671C7E23" w14:textId="57B6A67F" w:rsidR="00A02E4F" w:rsidRPr="00A02E4F" w:rsidRDefault="00A02E4F" w:rsidP="00A02E4F">
      <w:pPr>
        <w:pStyle w:val="Default"/>
        <w:spacing w:after="60"/>
        <w:ind w:firstLine="720"/>
        <w:jc w:val="both"/>
        <w:rPr>
          <w:szCs w:val="23"/>
        </w:rPr>
      </w:pPr>
      <w:r w:rsidRPr="00A02E4F">
        <w:rPr>
          <w:szCs w:val="23"/>
        </w:rPr>
        <w:t>Makroekonomiskās att</w:t>
      </w:r>
      <w:r w:rsidR="002D6792">
        <w:rPr>
          <w:szCs w:val="23"/>
        </w:rPr>
        <w:t>īstības scenārijs 2015. – 2018.</w:t>
      </w:r>
      <w:r w:rsidRPr="00A02E4F">
        <w:rPr>
          <w:szCs w:val="23"/>
        </w:rPr>
        <w:t xml:space="preserve">gadam izstrādāts, balstoties uz konservatīviem pieņēmumiem par ārējā un iekšējā pieprasījuma pieaugumu un ņem vērā gan iekšējos, gan ārējos riskus. Vidējā termiņā makroekonomiskās attīstības scenārija pozitīvie un negatīvie riski ir sabalansēti, tomēr īstermiņā vairāk dominē negatīvie riski, no kuriem būtiskākie ir ārējās vides riski, kas saistīti ar ģeopolitisko situāciju reģionā, Krievijas ekonomikas nonākšanu recesijā un vājo ekonomikas izaugsmi </w:t>
      </w:r>
      <w:r w:rsidR="002D6792" w:rsidRPr="0009609E">
        <w:rPr>
          <w:i/>
        </w:rPr>
        <w:t>euro</w:t>
      </w:r>
      <w:r w:rsidR="002D6792" w:rsidRPr="00A02E4F">
        <w:rPr>
          <w:szCs w:val="23"/>
        </w:rPr>
        <w:t xml:space="preserve"> </w:t>
      </w:r>
      <w:r w:rsidRPr="00A02E4F">
        <w:rPr>
          <w:szCs w:val="23"/>
        </w:rPr>
        <w:t xml:space="preserve">zonā. </w:t>
      </w:r>
    </w:p>
    <w:p w14:paraId="23A37CFD" w14:textId="10F2B1C9" w:rsidR="00A02E4F" w:rsidRPr="00142A2C" w:rsidRDefault="00A02E4F" w:rsidP="00142A2C">
      <w:pPr>
        <w:pStyle w:val="Default"/>
        <w:spacing w:after="60"/>
        <w:ind w:firstLine="720"/>
        <w:jc w:val="both"/>
        <w:rPr>
          <w:szCs w:val="23"/>
        </w:rPr>
      </w:pPr>
      <w:r w:rsidRPr="00A02E4F">
        <w:rPr>
          <w:szCs w:val="23"/>
        </w:rPr>
        <w:t>Papildus ārējās vides riskiem makroekonomiskā scenārija izpildi ietekmēs arī iekšējie faktori – situācija darba tirgū, uzņēmumu spējas piesaistīt finanšu līdzekļus un īstenot investīciju projektus, lai palielinātu ražošanas jaudas, kreditēšanas attīstība u.c. faktori, kas tiešā veidā ietekmē valsts kredītreitingu, procentu likmes, konfidences rādītājus un i</w:t>
      </w:r>
      <w:r w:rsidR="00142A2C">
        <w:rPr>
          <w:szCs w:val="23"/>
        </w:rPr>
        <w:t>ekšzemes pieprasījumu.</w:t>
      </w:r>
    </w:p>
    <w:p w14:paraId="51FEBD64" w14:textId="77777777" w:rsidR="00A02E4F" w:rsidRPr="00A02E4F" w:rsidRDefault="00A02E4F" w:rsidP="00142A2C">
      <w:pPr>
        <w:spacing w:before="320" w:after="120" w:line="240" w:lineRule="auto"/>
        <w:jc w:val="both"/>
        <w:rPr>
          <w:rFonts w:ascii="Times New Roman" w:hAnsi="Times New Roman" w:cs="Times New Roman"/>
          <w:b/>
          <w:sz w:val="24"/>
          <w:szCs w:val="24"/>
        </w:rPr>
      </w:pPr>
      <w:r w:rsidRPr="00A02E4F">
        <w:rPr>
          <w:rFonts w:ascii="Times New Roman" w:hAnsi="Times New Roman" w:cs="Times New Roman"/>
          <w:b/>
          <w:sz w:val="24"/>
          <w:szCs w:val="24"/>
        </w:rPr>
        <w:t>Negatīvie riski:</w:t>
      </w:r>
    </w:p>
    <w:p w14:paraId="34B48A1C" w14:textId="77777777"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b/>
          <w:sz w:val="24"/>
          <w:szCs w:val="24"/>
        </w:rPr>
      </w:pPr>
      <w:r w:rsidRPr="00A02E4F">
        <w:rPr>
          <w:rFonts w:ascii="Times New Roman" w:hAnsi="Times New Roman" w:cs="Times New Roman"/>
          <w:sz w:val="24"/>
          <w:szCs w:val="24"/>
        </w:rPr>
        <w:t xml:space="preserve">Būtiskākais negatīvais risks Latvijas ekonomikas attīstībai joprojām ir </w:t>
      </w:r>
      <w:r w:rsidRPr="00A02E4F">
        <w:rPr>
          <w:rFonts w:ascii="Times New Roman" w:hAnsi="Times New Roman" w:cs="Times New Roman"/>
          <w:b/>
          <w:sz w:val="24"/>
          <w:szCs w:val="24"/>
        </w:rPr>
        <w:t xml:space="preserve">ģeopolitiskā situācija reģionā. </w:t>
      </w:r>
      <w:r w:rsidRPr="00A02E4F">
        <w:rPr>
          <w:rFonts w:ascii="Times New Roman" w:hAnsi="Times New Roman" w:cs="Times New Roman"/>
          <w:sz w:val="24"/>
          <w:szCs w:val="24"/>
        </w:rPr>
        <w:t xml:space="preserve">Krievijas un rietumvalstu konflikta tālāka saasināšanās var būtiski samazināt gan vietējās, gan ārvalstu investīcijas reģionā, vājinot Latvijas ekonomikas izaugsmi gan īstermiņā, gan mazinot izaugsmes potenciālu vidējā termiņā un ilgtermiņā. </w:t>
      </w:r>
    </w:p>
    <w:p w14:paraId="0D23136A" w14:textId="77777777"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sz w:val="24"/>
          <w:szCs w:val="24"/>
        </w:rPr>
      </w:pPr>
      <w:r w:rsidRPr="00A02E4F">
        <w:rPr>
          <w:rFonts w:ascii="Times New Roman" w:hAnsi="Times New Roman" w:cs="Times New Roman"/>
          <w:b/>
          <w:sz w:val="24"/>
          <w:szCs w:val="24"/>
        </w:rPr>
        <w:t>Jaunu ES un Krievijas savstarpēju ekonomisku sankciju ieviešana</w:t>
      </w:r>
      <w:r w:rsidRPr="00A02E4F">
        <w:rPr>
          <w:rFonts w:ascii="Times New Roman" w:hAnsi="Times New Roman" w:cs="Times New Roman"/>
          <w:sz w:val="24"/>
          <w:szCs w:val="24"/>
        </w:rPr>
        <w:t xml:space="preserve"> var negatīvi skart atsevišķus Latvijas ekonomikas sektorus, tajā skaitā ar Krieviju saistītās apstrādes rūpniecības nozares, kas līdz šim nav bijušas pakļautas sankcijām, kā mašīnbūve, metālu, elektronisko iekārtu, farmaceitiskā rūpniecība. Potenciālas sankcijas var skart arī transporta nozari, kuras būtisku daļu veido Krievijas kravu tranzīts caur Latvijas ostām, un finanšu pakalpojumu nozari, kurā salīdzinoši augsts īpatsvars ir nerezidentu apkalpošanai.</w:t>
      </w:r>
    </w:p>
    <w:p w14:paraId="15AC88AD" w14:textId="77777777"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sz w:val="24"/>
          <w:szCs w:val="24"/>
        </w:rPr>
      </w:pPr>
      <w:r w:rsidRPr="00A02E4F">
        <w:rPr>
          <w:rFonts w:ascii="Times New Roman" w:hAnsi="Times New Roman" w:cs="Times New Roman"/>
          <w:b/>
          <w:sz w:val="24"/>
          <w:szCs w:val="24"/>
        </w:rPr>
        <w:t xml:space="preserve">Krievijas kopējās ekonomiskās situācijas tālāka pasliktināšanās </w:t>
      </w:r>
      <w:r w:rsidRPr="00A02E4F">
        <w:rPr>
          <w:rFonts w:ascii="Times New Roman" w:hAnsi="Times New Roman" w:cs="Times New Roman"/>
          <w:sz w:val="24"/>
          <w:szCs w:val="24"/>
        </w:rPr>
        <w:t>un rubļa kursa turpmāks kritums vēl vairāk samazinātu pieprasījumu pēc Latvijas precēm Krievijas tirgū, kā arī negatīvi ietekmētu ekonomisko situāciju un pieprasījumu citās reģiona valstīs.</w:t>
      </w:r>
    </w:p>
    <w:p w14:paraId="17040D0C" w14:textId="6157310A"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sz w:val="24"/>
          <w:szCs w:val="24"/>
        </w:rPr>
      </w:pPr>
      <w:r w:rsidRPr="00A02E4F">
        <w:rPr>
          <w:rFonts w:ascii="Times New Roman" w:hAnsi="Times New Roman" w:cs="Times New Roman"/>
          <w:sz w:val="24"/>
          <w:szCs w:val="24"/>
        </w:rPr>
        <w:t xml:space="preserve">Būtiski pieaugušie ārējās vides riski var ietekmēt ekonomikas attīstību arī netiešā veidā, būtiski pasliktinot </w:t>
      </w:r>
      <w:r w:rsidRPr="00A02E4F">
        <w:rPr>
          <w:rFonts w:ascii="Times New Roman" w:hAnsi="Times New Roman" w:cs="Times New Roman"/>
          <w:b/>
          <w:sz w:val="24"/>
          <w:szCs w:val="24"/>
        </w:rPr>
        <w:t>patērētāju un uzņēmēju noskaņojumu</w:t>
      </w:r>
      <w:r w:rsidRPr="00A02E4F">
        <w:rPr>
          <w:rFonts w:ascii="Times New Roman" w:hAnsi="Times New Roman" w:cs="Times New Roman"/>
          <w:sz w:val="24"/>
          <w:szCs w:val="24"/>
        </w:rPr>
        <w:t>. Tā rezultātā var bremzēties privātā patēriņa pieaugums, iedzīvotājiem atliekot savu</w:t>
      </w:r>
      <w:r w:rsidR="00BD3877">
        <w:rPr>
          <w:rFonts w:ascii="Times New Roman" w:hAnsi="Times New Roman" w:cs="Times New Roman"/>
          <w:sz w:val="24"/>
          <w:szCs w:val="24"/>
        </w:rPr>
        <w:t>s</w:t>
      </w:r>
      <w:r w:rsidRPr="00A02E4F">
        <w:rPr>
          <w:rFonts w:ascii="Times New Roman" w:hAnsi="Times New Roman" w:cs="Times New Roman"/>
          <w:sz w:val="24"/>
          <w:szCs w:val="24"/>
        </w:rPr>
        <w:t xml:space="preserve"> tēriņus un pastiprināti veidojot uzkrājumus, savukārt uzņēmēji var ieņemt nogaidošu pozīciju attiecībā uz investīciju lēmumiem.</w:t>
      </w:r>
    </w:p>
    <w:p w14:paraId="117541AE" w14:textId="77777777"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sz w:val="24"/>
          <w:szCs w:val="24"/>
        </w:rPr>
      </w:pPr>
      <w:r w:rsidRPr="00A02E4F">
        <w:rPr>
          <w:rFonts w:ascii="Times New Roman" w:hAnsi="Times New Roman" w:cs="Times New Roman"/>
          <w:sz w:val="24"/>
          <w:szCs w:val="24"/>
        </w:rPr>
        <w:t xml:space="preserve">Ilgstoši </w:t>
      </w:r>
      <w:r w:rsidRPr="00A02E4F">
        <w:rPr>
          <w:rFonts w:ascii="Times New Roman" w:hAnsi="Times New Roman" w:cs="Times New Roman"/>
          <w:b/>
          <w:sz w:val="24"/>
          <w:szCs w:val="24"/>
        </w:rPr>
        <w:t>zems investīciju pieaugums var negatīvi ietekmēt ekonomikas izaugsmes potenciālu vidējā termiņā</w:t>
      </w:r>
      <w:r w:rsidRPr="00A02E4F">
        <w:rPr>
          <w:rFonts w:ascii="Times New Roman" w:hAnsi="Times New Roman" w:cs="Times New Roman"/>
          <w:sz w:val="24"/>
          <w:szCs w:val="24"/>
        </w:rPr>
        <w:t>. Investīciju būtisks pieaugums Latvijā nav fiksēts jau kopš 2012.gada vidus, pat neskatoties uz to, ka jaudu noslodzes rādītāji daudzās rūpniecības apakšnozarēs sasnieguši vēsturiski augstākos līmeņus. Papildus tam šāda situācija rada risku, ka situācijā, kad ārējā vide sāk uzlaboties, Latvijas uzņēmēji nespēs ātri palielināt ražošanas apjomus un tādējādi var tikt zaudētas eksporta tirgus daļas.</w:t>
      </w:r>
    </w:p>
    <w:p w14:paraId="5A656C27" w14:textId="7FD936A2"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sz w:val="24"/>
          <w:szCs w:val="24"/>
        </w:rPr>
      </w:pPr>
      <w:r w:rsidRPr="00A02E4F">
        <w:rPr>
          <w:rFonts w:ascii="Times New Roman" w:hAnsi="Times New Roman" w:cs="Times New Roman"/>
          <w:sz w:val="24"/>
          <w:szCs w:val="24"/>
        </w:rPr>
        <w:t>Lai gan</w:t>
      </w:r>
      <w:r w:rsidRPr="00A02E4F">
        <w:rPr>
          <w:rFonts w:ascii="Times New Roman" w:hAnsi="Times New Roman" w:cs="Times New Roman"/>
          <w:b/>
          <w:sz w:val="24"/>
          <w:szCs w:val="24"/>
        </w:rPr>
        <w:t xml:space="preserve"> ekonomiskās izaugsmes rādītāji </w:t>
      </w:r>
      <w:r w:rsidR="00BD3877" w:rsidRPr="0009609E">
        <w:rPr>
          <w:rFonts w:ascii="Times New Roman" w:eastAsia="Times New Roman" w:hAnsi="Times New Roman" w:cs="Times New Roman"/>
          <w:i/>
          <w:sz w:val="24"/>
          <w:szCs w:val="24"/>
        </w:rPr>
        <w:t>euro</w:t>
      </w:r>
      <w:r w:rsidR="00BD3877" w:rsidRPr="00A02E4F">
        <w:rPr>
          <w:rFonts w:ascii="Times New Roman" w:hAnsi="Times New Roman" w:cs="Times New Roman"/>
          <w:sz w:val="24"/>
          <w:szCs w:val="24"/>
        </w:rPr>
        <w:t xml:space="preserve"> </w:t>
      </w:r>
      <w:r w:rsidRPr="00A02E4F">
        <w:rPr>
          <w:rFonts w:ascii="Times New Roman" w:hAnsi="Times New Roman" w:cs="Times New Roman"/>
          <w:sz w:val="24"/>
          <w:szCs w:val="24"/>
        </w:rPr>
        <w:t xml:space="preserve">zonā pakāpeniski uzlabojas, riski monetārās savienības ekonomikas tālākai attīstībai joprojām saglabājas augsti un ekonomikas pieaugums var nesasniegt prognozēto. Tajā skaitā ekonomiskās un monetārās stimulēšanas pasākumi var izrādīties nepietiekami, lai novērstu </w:t>
      </w:r>
      <w:r w:rsidR="00697FC6">
        <w:rPr>
          <w:rFonts w:ascii="Times New Roman" w:hAnsi="Times New Roman" w:cs="Times New Roman"/>
          <w:i/>
          <w:sz w:val="24"/>
          <w:szCs w:val="24"/>
        </w:rPr>
        <w:t>euro</w:t>
      </w:r>
      <w:r w:rsidR="00697FC6">
        <w:rPr>
          <w:rFonts w:ascii="Times New Roman" w:hAnsi="Times New Roman" w:cs="Times New Roman"/>
          <w:sz w:val="24"/>
          <w:szCs w:val="24"/>
        </w:rPr>
        <w:t xml:space="preserve"> </w:t>
      </w:r>
      <w:r w:rsidRPr="00A02E4F">
        <w:rPr>
          <w:rFonts w:ascii="Times New Roman" w:hAnsi="Times New Roman" w:cs="Times New Roman"/>
          <w:sz w:val="24"/>
          <w:szCs w:val="24"/>
        </w:rPr>
        <w:t>zonas ieslīgšanu deflācijā un ilgstošas stagnācijas iestāšanos. Savukārt politiskie riski attiecībā uz strukturālo reformu īstenošanu vai nenoteiktība par Grieķijas turpmāko politiku var radīt jaunus satricinājumus finanšu tirgos.</w:t>
      </w:r>
    </w:p>
    <w:p w14:paraId="7FF2F9FE" w14:textId="2B393436"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sz w:val="24"/>
          <w:szCs w:val="24"/>
        </w:rPr>
      </w:pPr>
      <w:r w:rsidRPr="00A02E4F">
        <w:rPr>
          <w:rFonts w:ascii="Times New Roman" w:hAnsi="Times New Roman" w:cs="Times New Roman"/>
          <w:b/>
          <w:sz w:val="24"/>
          <w:szCs w:val="24"/>
        </w:rPr>
        <w:t xml:space="preserve">Deflācija un ilgstoši zema izaugsme </w:t>
      </w:r>
      <w:r w:rsidR="00BD3877" w:rsidRPr="00BD3877">
        <w:rPr>
          <w:rFonts w:ascii="Times New Roman" w:eastAsia="Times New Roman" w:hAnsi="Times New Roman" w:cs="Times New Roman"/>
          <w:b/>
          <w:i/>
          <w:sz w:val="24"/>
          <w:szCs w:val="24"/>
        </w:rPr>
        <w:t>euro</w:t>
      </w:r>
      <w:r w:rsidR="00BD3877" w:rsidRPr="00A02E4F">
        <w:rPr>
          <w:rFonts w:ascii="Times New Roman" w:hAnsi="Times New Roman" w:cs="Times New Roman"/>
          <w:b/>
          <w:sz w:val="24"/>
          <w:szCs w:val="24"/>
        </w:rPr>
        <w:t xml:space="preserve"> </w:t>
      </w:r>
      <w:r w:rsidRPr="00A02E4F">
        <w:rPr>
          <w:rFonts w:ascii="Times New Roman" w:hAnsi="Times New Roman" w:cs="Times New Roman"/>
          <w:b/>
          <w:sz w:val="24"/>
          <w:szCs w:val="24"/>
        </w:rPr>
        <w:t>zonā, ne tikai īstermiņā, bet arī ilgtermiņā var būtiski ietekmēt Latvijas ekonomikas attīstību</w:t>
      </w:r>
      <w:r w:rsidRPr="00A02E4F">
        <w:rPr>
          <w:rFonts w:ascii="Times New Roman" w:hAnsi="Times New Roman" w:cs="Times New Roman"/>
          <w:sz w:val="24"/>
          <w:szCs w:val="24"/>
        </w:rPr>
        <w:t xml:space="preserve">. Kā rāda Japānas piemērs kopš 20.gs. deviņdesmitajiem gadiem, deflācija vai ļoti zema inflācija negatīvi ietekmē investīcijas un izaugsmi. Deflācija palielina reālās procentu likmes un bremzē investīcijas, kas jau šobrīd </w:t>
      </w:r>
      <w:r w:rsidR="00BD3877" w:rsidRPr="0009609E">
        <w:rPr>
          <w:rFonts w:ascii="Times New Roman" w:eastAsia="Times New Roman" w:hAnsi="Times New Roman" w:cs="Times New Roman"/>
          <w:i/>
          <w:sz w:val="24"/>
          <w:szCs w:val="24"/>
        </w:rPr>
        <w:t>euro</w:t>
      </w:r>
      <w:r w:rsidR="00BD3877" w:rsidRPr="00A02E4F">
        <w:rPr>
          <w:rFonts w:ascii="Times New Roman" w:hAnsi="Times New Roman" w:cs="Times New Roman"/>
          <w:sz w:val="24"/>
          <w:szCs w:val="24"/>
        </w:rPr>
        <w:t xml:space="preserve"> </w:t>
      </w:r>
      <w:r w:rsidRPr="00A02E4F">
        <w:rPr>
          <w:rFonts w:ascii="Times New Roman" w:hAnsi="Times New Roman" w:cs="Times New Roman"/>
          <w:sz w:val="24"/>
          <w:szCs w:val="24"/>
        </w:rPr>
        <w:t xml:space="preserve">zonā ir ļoti zemā līmenī. Šāda kombinācija var novest gan pie parādu krīzes atjaunošanās, gan pie politiskiem satricinājumiem. Papildus tam arvien vairāk pieaug bažas, ka zemais investīciju līmenis </w:t>
      </w:r>
      <w:r w:rsidR="00BD3877" w:rsidRPr="0009609E">
        <w:rPr>
          <w:rFonts w:ascii="Times New Roman" w:eastAsia="Times New Roman" w:hAnsi="Times New Roman" w:cs="Times New Roman"/>
          <w:i/>
          <w:sz w:val="24"/>
          <w:szCs w:val="24"/>
        </w:rPr>
        <w:t>euro</w:t>
      </w:r>
      <w:r w:rsidR="00BD3877" w:rsidRPr="00A02E4F">
        <w:rPr>
          <w:rFonts w:ascii="Times New Roman" w:hAnsi="Times New Roman" w:cs="Times New Roman"/>
          <w:sz w:val="24"/>
          <w:szCs w:val="24"/>
        </w:rPr>
        <w:t xml:space="preserve"> </w:t>
      </w:r>
      <w:r w:rsidRPr="00A02E4F">
        <w:rPr>
          <w:rFonts w:ascii="Times New Roman" w:hAnsi="Times New Roman" w:cs="Times New Roman"/>
          <w:sz w:val="24"/>
          <w:szCs w:val="24"/>
        </w:rPr>
        <w:t xml:space="preserve">zonā </w:t>
      </w:r>
      <w:r w:rsidRPr="00A02E4F">
        <w:rPr>
          <w:rFonts w:ascii="Times New Roman" w:eastAsiaTheme="minorHAnsi" w:hAnsi="Times New Roman" w:cs="Times New Roman"/>
          <w:sz w:val="24"/>
          <w:szCs w:val="24"/>
        </w:rPr>
        <w:t xml:space="preserve">ir kļuvis par strukturālu fenomenu, kas plašāk pazīstams kā sekulārā stagnācija, kad ekonomikas izaugsmes tempiem mazinoties, uzkrājumu līmenis būtiski pārsniedz investīcijas un rezultātā veidojas ilgstoša ekonomikas stagnācija. </w:t>
      </w:r>
      <w:r w:rsidRPr="00A02E4F">
        <w:rPr>
          <w:rFonts w:ascii="Times New Roman" w:hAnsi="Times New Roman" w:cs="Times New Roman"/>
          <w:sz w:val="24"/>
          <w:szCs w:val="24"/>
        </w:rPr>
        <w:t xml:space="preserve"> </w:t>
      </w:r>
    </w:p>
    <w:p w14:paraId="276D7FB5" w14:textId="43B3CA23"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sz w:val="24"/>
          <w:szCs w:val="24"/>
        </w:rPr>
      </w:pPr>
      <w:r w:rsidRPr="00A02E4F">
        <w:rPr>
          <w:rFonts w:ascii="Times New Roman" w:hAnsi="Times New Roman" w:cs="Times New Roman"/>
          <w:sz w:val="24"/>
          <w:szCs w:val="24"/>
        </w:rPr>
        <w:t xml:space="preserve">Uzlabojoties ASV ekonomikas izaugsmei, </w:t>
      </w:r>
      <w:r w:rsidRPr="00A02E4F">
        <w:rPr>
          <w:rFonts w:ascii="Times New Roman" w:hAnsi="Times New Roman" w:cs="Times New Roman"/>
          <w:b/>
          <w:sz w:val="24"/>
          <w:szCs w:val="24"/>
        </w:rPr>
        <w:t>Federālo rezervju sistēma var sākt īstenot mazāk ekspansīvu monetāro politiku</w:t>
      </w:r>
      <w:r w:rsidRPr="00A02E4F">
        <w:rPr>
          <w:rFonts w:ascii="Times New Roman" w:hAnsi="Times New Roman" w:cs="Times New Roman"/>
          <w:sz w:val="24"/>
          <w:szCs w:val="24"/>
        </w:rPr>
        <w:t xml:space="preserve">, tajā skaitā procentu likmju paaugstināšanu, kas nozīmētu izmaiņas pasaules kapitāla plūsmās un mazāku naudas piedāvājumu, bremzējot kopējos pasaules attīstības tempus. No otras puses, dolāra kursa kāpums citām pasaules nozīmīgākajām valūtām, tajā skaitā </w:t>
      </w:r>
      <w:r w:rsidR="00BD3877" w:rsidRPr="0009609E">
        <w:rPr>
          <w:rFonts w:ascii="Times New Roman" w:eastAsia="Times New Roman" w:hAnsi="Times New Roman" w:cs="Times New Roman"/>
          <w:i/>
          <w:sz w:val="24"/>
          <w:szCs w:val="24"/>
        </w:rPr>
        <w:t>euro</w:t>
      </w:r>
      <w:r w:rsidRPr="00A02E4F">
        <w:rPr>
          <w:rFonts w:ascii="Times New Roman" w:hAnsi="Times New Roman" w:cs="Times New Roman"/>
          <w:sz w:val="24"/>
          <w:szCs w:val="24"/>
        </w:rPr>
        <w:t xml:space="preserve">, būtu labvēlīgs </w:t>
      </w:r>
      <w:r w:rsidR="00BD3877" w:rsidRPr="0009609E">
        <w:rPr>
          <w:rFonts w:ascii="Times New Roman" w:eastAsia="Times New Roman" w:hAnsi="Times New Roman" w:cs="Times New Roman"/>
          <w:i/>
          <w:sz w:val="24"/>
          <w:szCs w:val="24"/>
        </w:rPr>
        <w:t>euro</w:t>
      </w:r>
      <w:r w:rsidR="00BD3877" w:rsidRPr="00A02E4F">
        <w:rPr>
          <w:rFonts w:ascii="Times New Roman" w:hAnsi="Times New Roman" w:cs="Times New Roman"/>
          <w:sz w:val="24"/>
          <w:szCs w:val="24"/>
        </w:rPr>
        <w:t xml:space="preserve"> </w:t>
      </w:r>
      <w:r w:rsidRPr="00A02E4F">
        <w:rPr>
          <w:rFonts w:ascii="Times New Roman" w:hAnsi="Times New Roman" w:cs="Times New Roman"/>
          <w:sz w:val="24"/>
          <w:szCs w:val="24"/>
        </w:rPr>
        <w:t>zonas valstu eksportam.</w:t>
      </w:r>
    </w:p>
    <w:p w14:paraId="2EC9151A" w14:textId="77777777"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sz w:val="24"/>
          <w:szCs w:val="24"/>
        </w:rPr>
      </w:pPr>
      <w:r w:rsidRPr="00A02E4F">
        <w:rPr>
          <w:rFonts w:ascii="Times New Roman" w:hAnsi="Times New Roman" w:cs="Times New Roman"/>
          <w:b/>
          <w:sz w:val="24"/>
          <w:szCs w:val="24"/>
        </w:rPr>
        <w:t>No iekšējiem riskiem vidējā termiņā būtisks risks ir darbspējas vecuma iedzīvotāju skaita samazināšanās</w:t>
      </w:r>
      <w:r w:rsidRPr="00A02E4F">
        <w:rPr>
          <w:rFonts w:ascii="Times New Roman" w:hAnsi="Times New Roman" w:cs="Times New Roman"/>
          <w:sz w:val="24"/>
          <w:szCs w:val="24"/>
        </w:rPr>
        <w:t xml:space="preserve">. Darbaspēka izmaksu pieaugums, ekonomiski aktīvo iedzīvotāju skaita samazināšanās, darbaspēka pieprasījuma un piedāvājuma nesabalansētības prasmju un ģeogrāfiskās pieejamības ziņā, darbaspēka novecošanās atsevišķās profesijās vidējā termiņā var radīt problēmas darba devējiem darbaspēka resursu nodrošināšanā, mazināt Latvijas eksporta apjomu kāpumu, eksporta konkurētspēju, kā arī investīcijas. </w:t>
      </w:r>
    </w:p>
    <w:p w14:paraId="733B51D2" w14:textId="77777777"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sz w:val="24"/>
          <w:szCs w:val="24"/>
        </w:rPr>
      </w:pPr>
      <w:r w:rsidRPr="00A02E4F">
        <w:rPr>
          <w:rFonts w:ascii="Times New Roman" w:hAnsi="Times New Roman" w:cs="Times New Roman"/>
          <w:sz w:val="24"/>
          <w:szCs w:val="24"/>
        </w:rPr>
        <w:t xml:space="preserve">Iepriekšējo gadu straujās ekonomiskās izaugsmes inercē balstīts </w:t>
      </w:r>
      <w:r w:rsidRPr="00A02E4F">
        <w:rPr>
          <w:rFonts w:ascii="Times New Roman" w:hAnsi="Times New Roman" w:cs="Times New Roman"/>
          <w:b/>
          <w:sz w:val="24"/>
          <w:szCs w:val="24"/>
        </w:rPr>
        <w:t>darba samaksas pieaugums, kas būtiski pārsniedz produktivitātes pieaugumu</w:t>
      </w:r>
      <w:r w:rsidRPr="00A02E4F">
        <w:rPr>
          <w:rFonts w:ascii="Times New Roman" w:hAnsi="Times New Roman" w:cs="Times New Roman"/>
          <w:sz w:val="24"/>
          <w:szCs w:val="24"/>
        </w:rPr>
        <w:t>, var mazināt Latvijas uzņēmēju starptautisko konkurētspēju, vēl tālāk vājinot Latvijas eksporta iespējas un palēnināt kopējo ekonomikas izaugsmi.</w:t>
      </w:r>
    </w:p>
    <w:p w14:paraId="45EA365E" w14:textId="3B0D18E8" w:rsidR="00A02E4F" w:rsidRPr="00142A2C" w:rsidRDefault="00A02E4F" w:rsidP="00142A2C">
      <w:pPr>
        <w:pStyle w:val="ListParagraph"/>
        <w:numPr>
          <w:ilvl w:val="0"/>
          <w:numId w:val="12"/>
        </w:numPr>
        <w:spacing w:after="60" w:line="240" w:lineRule="auto"/>
        <w:contextualSpacing w:val="0"/>
        <w:jc w:val="both"/>
        <w:rPr>
          <w:rFonts w:ascii="Times New Roman" w:hAnsi="Times New Roman" w:cs="Times New Roman"/>
          <w:sz w:val="24"/>
          <w:szCs w:val="24"/>
        </w:rPr>
      </w:pPr>
      <w:r w:rsidRPr="00A02E4F">
        <w:rPr>
          <w:rFonts w:ascii="Times New Roman" w:hAnsi="Times New Roman" w:cs="Times New Roman"/>
          <w:b/>
          <w:sz w:val="24"/>
          <w:szCs w:val="24"/>
        </w:rPr>
        <w:t>Augšupvērsti pasaules izejvielu cenu šoki</w:t>
      </w:r>
      <w:r w:rsidRPr="00A02E4F">
        <w:rPr>
          <w:rFonts w:ascii="Times New Roman" w:hAnsi="Times New Roman" w:cs="Times New Roman"/>
          <w:sz w:val="24"/>
          <w:szCs w:val="24"/>
        </w:rPr>
        <w:t xml:space="preserve">, kā arī pieprasījuma puses faktori vietējā tirgū var veicināt straujāku </w:t>
      </w:r>
      <w:r w:rsidR="00BD3877" w:rsidRPr="00A02E4F">
        <w:rPr>
          <w:rFonts w:ascii="Times New Roman" w:hAnsi="Times New Roman" w:cs="Times New Roman"/>
          <w:sz w:val="24"/>
          <w:szCs w:val="24"/>
        </w:rPr>
        <w:t xml:space="preserve">cenu pieaugumu </w:t>
      </w:r>
      <w:r w:rsidRPr="00A02E4F">
        <w:rPr>
          <w:rFonts w:ascii="Times New Roman" w:hAnsi="Times New Roman" w:cs="Times New Roman"/>
          <w:sz w:val="24"/>
          <w:szCs w:val="24"/>
        </w:rPr>
        <w:t xml:space="preserve">nekā prognozēts. </w:t>
      </w:r>
    </w:p>
    <w:p w14:paraId="45348DC3" w14:textId="77777777" w:rsidR="00A02E4F" w:rsidRPr="00A02E4F" w:rsidRDefault="00A02E4F" w:rsidP="00142A2C">
      <w:pPr>
        <w:spacing w:before="320" w:after="120" w:line="240" w:lineRule="auto"/>
        <w:jc w:val="both"/>
        <w:rPr>
          <w:rFonts w:ascii="Times New Roman" w:hAnsi="Times New Roman" w:cs="Times New Roman"/>
          <w:b/>
          <w:sz w:val="24"/>
          <w:szCs w:val="24"/>
        </w:rPr>
      </w:pPr>
      <w:r w:rsidRPr="00A02E4F">
        <w:rPr>
          <w:rFonts w:ascii="Times New Roman" w:hAnsi="Times New Roman" w:cs="Times New Roman"/>
          <w:b/>
          <w:sz w:val="24"/>
          <w:szCs w:val="24"/>
        </w:rPr>
        <w:t>Pozitīvie riski:</w:t>
      </w:r>
    </w:p>
    <w:p w14:paraId="0C2F54F9" w14:textId="77777777" w:rsidR="00A02E4F" w:rsidRPr="00A02E4F" w:rsidRDefault="00A02E4F" w:rsidP="008920E5">
      <w:pPr>
        <w:numPr>
          <w:ilvl w:val="0"/>
          <w:numId w:val="12"/>
        </w:numPr>
        <w:spacing w:after="60" w:line="240" w:lineRule="auto"/>
        <w:jc w:val="both"/>
        <w:rPr>
          <w:rFonts w:ascii="Times New Roman" w:hAnsi="Times New Roman" w:cs="Times New Roman"/>
          <w:sz w:val="24"/>
          <w:szCs w:val="24"/>
        </w:rPr>
      </w:pPr>
      <w:r w:rsidRPr="00A02E4F">
        <w:rPr>
          <w:rFonts w:ascii="Times New Roman" w:hAnsi="Times New Roman" w:cs="Times New Roman"/>
          <w:sz w:val="24"/>
          <w:szCs w:val="24"/>
        </w:rPr>
        <w:t xml:space="preserve">Sekmīga Latvijas lielākā metālu ražošanas uzņēmuma </w:t>
      </w:r>
      <w:r w:rsidRPr="00A02E4F">
        <w:rPr>
          <w:rFonts w:ascii="Times New Roman" w:hAnsi="Times New Roman" w:cs="Times New Roman"/>
          <w:b/>
          <w:sz w:val="24"/>
          <w:szCs w:val="24"/>
        </w:rPr>
        <w:t>“Liepājas metalurgs” darbības atjaunošana</w:t>
      </w:r>
      <w:r w:rsidRPr="00A02E4F">
        <w:rPr>
          <w:rFonts w:ascii="Times New Roman" w:hAnsi="Times New Roman" w:cs="Times New Roman"/>
          <w:sz w:val="24"/>
          <w:szCs w:val="24"/>
        </w:rPr>
        <w:t xml:space="preserve"> ļautu palielināt apstrādes rūpniecības apjomu, atgūt zaudētās darba vietas, kā arī kāpināt eksporta apjomus.</w:t>
      </w:r>
    </w:p>
    <w:p w14:paraId="0EDB93DA" w14:textId="1C8FB111"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sz w:val="24"/>
          <w:szCs w:val="24"/>
        </w:rPr>
      </w:pPr>
      <w:r w:rsidRPr="00A02E4F">
        <w:rPr>
          <w:rFonts w:ascii="Times New Roman" w:hAnsi="Times New Roman" w:cs="Times New Roman"/>
          <w:sz w:val="24"/>
          <w:szCs w:val="24"/>
        </w:rPr>
        <w:t xml:space="preserve">Sekmīga </w:t>
      </w:r>
      <w:r w:rsidR="00BD3877">
        <w:rPr>
          <w:rFonts w:ascii="Times New Roman" w:hAnsi="Times New Roman" w:cs="Times New Roman"/>
          <w:b/>
          <w:sz w:val="24"/>
          <w:szCs w:val="24"/>
        </w:rPr>
        <w:t>EK</w:t>
      </w:r>
      <w:r w:rsidRPr="00A02E4F">
        <w:rPr>
          <w:rFonts w:ascii="Times New Roman" w:hAnsi="Times New Roman" w:cs="Times New Roman"/>
          <w:b/>
          <w:sz w:val="24"/>
          <w:szCs w:val="24"/>
        </w:rPr>
        <w:t xml:space="preserve"> investīciju plāna realizēšana</w:t>
      </w:r>
      <w:r w:rsidRPr="00A02E4F">
        <w:rPr>
          <w:rFonts w:ascii="Times New Roman" w:hAnsi="Times New Roman" w:cs="Times New Roman"/>
          <w:sz w:val="24"/>
          <w:szCs w:val="24"/>
        </w:rPr>
        <w:t xml:space="preserve">, laikā līdz 2017.gadam piesaistot ekonomikā vismaz 315 miljardu </w:t>
      </w:r>
      <w:r w:rsidR="00BD3877" w:rsidRPr="0009609E">
        <w:rPr>
          <w:rFonts w:ascii="Times New Roman" w:eastAsia="Times New Roman" w:hAnsi="Times New Roman" w:cs="Times New Roman"/>
          <w:i/>
          <w:sz w:val="24"/>
          <w:szCs w:val="24"/>
        </w:rPr>
        <w:t>euro</w:t>
      </w:r>
      <w:r w:rsidR="00BD3877" w:rsidRPr="00A02E4F">
        <w:rPr>
          <w:rFonts w:ascii="Times New Roman" w:hAnsi="Times New Roman" w:cs="Times New Roman"/>
          <w:sz w:val="24"/>
          <w:szCs w:val="24"/>
        </w:rPr>
        <w:t xml:space="preserve"> </w:t>
      </w:r>
      <w:r w:rsidRPr="00A02E4F">
        <w:rPr>
          <w:rFonts w:ascii="Times New Roman" w:hAnsi="Times New Roman" w:cs="Times New Roman"/>
          <w:sz w:val="24"/>
          <w:szCs w:val="24"/>
        </w:rPr>
        <w:t xml:space="preserve">papildu publiskās un privātās investīcijas, kā arī </w:t>
      </w:r>
      <w:r w:rsidR="00BD3877">
        <w:rPr>
          <w:rFonts w:ascii="Times New Roman" w:hAnsi="Times New Roman" w:cs="Times New Roman"/>
          <w:sz w:val="24"/>
          <w:szCs w:val="24"/>
        </w:rPr>
        <w:t>ECB</w:t>
      </w:r>
      <w:r w:rsidRPr="00A02E4F">
        <w:rPr>
          <w:rFonts w:ascii="Times New Roman" w:hAnsi="Times New Roman" w:cs="Times New Roman"/>
          <w:sz w:val="24"/>
          <w:szCs w:val="24"/>
        </w:rPr>
        <w:t xml:space="preserve"> īstenotie monetārās stimulēšanas pasākumi, paplašinot jau līdz šim īstenoto aktīvu iegādes programmu ar valdību vērtspapīriem, veiksmīgi realizētas strukturālās reformas var nodrošināt </w:t>
      </w:r>
      <w:r w:rsidRPr="00A02E4F">
        <w:rPr>
          <w:rFonts w:ascii="Times New Roman" w:hAnsi="Times New Roman" w:cs="Times New Roman"/>
          <w:b/>
          <w:sz w:val="24"/>
          <w:szCs w:val="24"/>
        </w:rPr>
        <w:t xml:space="preserve">straujāku nekā prognozēts </w:t>
      </w:r>
      <w:r w:rsidR="00BD3877" w:rsidRPr="00BD3877">
        <w:rPr>
          <w:rFonts w:ascii="Times New Roman" w:eastAsia="Times New Roman" w:hAnsi="Times New Roman" w:cs="Times New Roman"/>
          <w:b/>
          <w:i/>
          <w:sz w:val="24"/>
          <w:szCs w:val="24"/>
        </w:rPr>
        <w:t>euro</w:t>
      </w:r>
      <w:r w:rsidR="00BD3877" w:rsidRPr="00A02E4F">
        <w:rPr>
          <w:rFonts w:ascii="Times New Roman" w:hAnsi="Times New Roman" w:cs="Times New Roman"/>
          <w:b/>
          <w:sz w:val="24"/>
          <w:szCs w:val="24"/>
        </w:rPr>
        <w:t xml:space="preserve"> </w:t>
      </w:r>
      <w:r w:rsidRPr="00A02E4F">
        <w:rPr>
          <w:rFonts w:ascii="Times New Roman" w:hAnsi="Times New Roman" w:cs="Times New Roman"/>
          <w:b/>
          <w:sz w:val="24"/>
          <w:szCs w:val="24"/>
        </w:rPr>
        <w:t xml:space="preserve">zonas un visas </w:t>
      </w:r>
      <w:r w:rsidR="00BD3877">
        <w:rPr>
          <w:rFonts w:ascii="Times New Roman" w:hAnsi="Times New Roman" w:cs="Times New Roman"/>
          <w:b/>
          <w:sz w:val="24"/>
          <w:szCs w:val="24"/>
        </w:rPr>
        <w:t>ES</w:t>
      </w:r>
      <w:r w:rsidRPr="00A02E4F">
        <w:rPr>
          <w:rFonts w:ascii="Times New Roman" w:hAnsi="Times New Roman" w:cs="Times New Roman"/>
          <w:b/>
          <w:sz w:val="24"/>
          <w:szCs w:val="24"/>
        </w:rPr>
        <w:t xml:space="preserve"> ekonomikas izaugsmi</w:t>
      </w:r>
      <w:r w:rsidRPr="00A02E4F">
        <w:rPr>
          <w:rFonts w:ascii="Times New Roman" w:hAnsi="Times New Roman" w:cs="Times New Roman"/>
          <w:sz w:val="24"/>
          <w:szCs w:val="24"/>
        </w:rPr>
        <w:t>, kas ļautu arī Latvijas ekonomikai attīstīties straujāk nekā prognozēts.</w:t>
      </w:r>
    </w:p>
    <w:p w14:paraId="18C3B8F0" w14:textId="77777777" w:rsidR="00A02E4F" w:rsidRPr="00A02E4F" w:rsidRDefault="00A02E4F" w:rsidP="008920E5">
      <w:pPr>
        <w:numPr>
          <w:ilvl w:val="0"/>
          <w:numId w:val="12"/>
        </w:numPr>
        <w:spacing w:after="60" w:line="240" w:lineRule="auto"/>
        <w:jc w:val="both"/>
        <w:rPr>
          <w:rFonts w:ascii="Times New Roman" w:hAnsi="Times New Roman" w:cs="Times New Roman"/>
          <w:sz w:val="24"/>
          <w:szCs w:val="24"/>
        </w:rPr>
      </w:pPr>
      <w:r w:rsidRPr="00A02E4F">
        <w:rPr>
          <w:rFonts w:ascii="Times New Roman" w:hAnsi="Times New Roman" w:cs="Times New Roman"/>
          <w:b/>
          <w:sz w:val="24"/>
          <w:szCs w:val="24"/>
        </w:rPr>
        <w:t>Naftas cenu, kā arī citu izejvielu cenu tālāka samazināšanās</w:t>
      </w:r>
      <w:r w:rsidRPr="00A02E4F">
        <w:rPr>
          <w:rFonts w:ascii="Times New Roman" w:hAnsi="Times New Roman" w:cs="Times New Roman"/>
          <w:sz w:val="24"/>
          <w:szCs w:val="24"/>
        </w:rPr>
        <w:t>, samazinot Latvijas ražotāju izmaksas, kā arī patērētāju izdevumus degvielai, apkurei un pārtikai, var nodrošināt straujāku nekā prognozēts, ražošanas un privātā patēriņa pieaugumu.</w:t>
      </w:r>
    </w:p>
    <w:p w14:paraId="279A7F25" w14:textId="4712571D" w:rsidR="00A02E4F" w:rsidRPr="00A02E4F" w:rsidRDefault="00BD3877" w:rsidP="008920E5">
      <w:pPr>
        <w:numPr>
          <w:ilvl w:val="0"/>
          <w:numId w:val="12"/>
        </w:numPr>
        <w:spacing w:after="60" w:line="240" w:lineRule="auto"/>
        <w:jc w:val="both"/>
        <w:rPr>
          <w:rFonts w:ascii="Times New Roman" w:hAnsi="Times New Roman" w:cs="Times New Roman"/>
          <w:sz w:val="24"/>
          <w:szCs w:val="24"/>
        </w:rPr>
      </w:pPr>
      <w:r>
        <w:rPr>
          <w:rFonts w:ascii="Times New Roman" w:hAnsi="Times New Roman" w:cs="Times New Roman"/>
          <w:b/>
          <w:i/>
          <w:sz w:val="24"/>
          <w:szCs w:val="24"/>
        </w:rPr>
        <w:t>Eu</w:t>
      </w:r>
      <w:r w:rsidR="00A02E4F" w:rsidRPr="00BD3877">
        <w:rPr>
          <w:rFonts w:ascii="Times New Roman" w:hAnsi="Times New Roman" w:cs="Times New Roman"/>
          <w:b/>
          <w:i/>
          <w:sz w:val="24"/>
          <w:szCs w:val="24"/>
        </w:rPr>
        <w:t>ro</w:t>
      </w:r>
      <w:r w:rsidR="00A02E4F" w:rsidRPr="00A02E4F">
        <w:rPr>
          <w:rFonts w:ascii="Times New Roman" w:hAnsi="Times New Roman" w:cs="Times New Roman"/>
          <w:b/>
          <w:sz w:val="24"/>
          <w:szCs w:val="24"/>
        </w:rPr>
        <w:t xml:space="preserve"> kursa pazemināšanās</w:t>
      </w:r>
      <w:r w:rsidR="00A02E4F" w:rsidRPr="00A02E4F">
        <w:rPr>
          <w:rFonts w:ascii="Times New Roman" w:hAnsi="Times New Roman" w:cs="Times New Roman"/>
          <w:sz w:val="24"/>
          <w:szCs w:val="24"/>
        </w:rPr>
        <w:t xml:space="preserve"> pret citām nozīmīgākajām pasaules valūtām, kā arī pret Latvijas lielāko eksporta partnervalstu valūtām var palielināt Latvijas eksporta konkurētspēju šo valstu tirgos, palielinot apstrādes rūpniecības izlaides un eksporta apjomus. </w:t>
      </w:r>
    </w:p>
    <w:p w14:paraId="6D0C6B81" w14:textId="77777777" w:rsidR="00A02E4F" w:rsidRPr="00A02E4F" w:rsidRDefault="00A02E4F" w:rsidP="008920E5">
      <w:pPr>
        <w:pStyle w:val="ListParagraph"/>
        <w:numPr>
          <w:ilvl w:val="0"/>
          <w:numId w:val="12"/>
        </w:numPr>
        <w:spacing w:after="60" w:line="240" w:lineRule="auto"/>
        <w:contextualSpacing w:val="0"/>
        <w:jc w:val="both"/>
        <w:rPr>
          <w:rFonts w:ascii="Times New Roman" w:hAnsi="Times New Roman" w:cs="Times New Roman"/>
          <w:b/>
          <w:sz w:val="24"/>
          <w:szCs w:val="24"/>
        </w:rPr>
      </w:pPr>
      <w:r w:rsidRPr="00A02E4F">
        <w:rPr>
          <w:rFonts w:ascii="Times New Roman" w:hAnsi="Times New Roman" w:cs="Times New Roman"/>
          <w:b/>
          <w:sz w:val="24"/>
          <w:szCs w:val="24"/>
        </w:rPr>
        <w:t xml:space="preserve">Ģeopolitiskās situācijas stabilizēšanās gadījumā Latvijā sagaidāms spēcīgāks privāto investīciju pieaugums.  </w:t>
      </w:r>
      <w:r w:rsidRPr="00A02E4F">
        <w:rPr>
          <w:rFonts w:ascii="Times New Roman" w:hAnsi="Times New Roman" w:cs="Times New Roman"/>
          <w:sz w:val="24"/>
          <w:szCs w:val="24"/>
        </w:rPr>
        <w:t>Ņemot vērā iepriekšējo gadu zemos investīciju rādītājus un to, ka jaudu noslodze Latvijas rūpniecībā ir tuvu vēsturiski augstākajam līmenim, šāds investīciju kāpums nodrošinātu pamatu straujākai ekonomikas izaugsmei vidējā termiņā.</w:t>
      </w:r>
    </w:p>
    <w:p w14:paraId="1085357E" w14:textId="77777777" w:rsidR="00A02E4F" w:rsidRPr="00A02E4F" w:rsidRDefault="00A02E4F" w:rsidP="008920E5">
      <w:pPr>
        <w:numPr>
          <w:ilvl w:val="0"/>
          <w:numId w:val="12"/>
        </w:numPr>
        <w:spacing w:after="60" w:line="240" w:lineRule="auto"/>
        <w:jc w:val="both"/>
        <w:rPr>
          <w:rFonts w:ascii="Times New Roman" w:hAnsi="Times New Roman" w:cs="Times New Roman"/>
          <w:sz w:val="24"/>
          <w:szCs w:val="24"/>
        </w:rPr>
      </w:pPr>
      <w:r w:rsidRPr="00A02E4F">
        <w:rPr>
          <w:rFonts w:ascii="Times New Roman" w:hAnsi="Times New Roman" w:cs="Times New Roman"/>
          <w:b/>
          <w:sz w:val="24"/>
          <w:szCs w:val="24"/>
        </w:rPr>
        <w:t xml:space="preserve">Kreditēšanas apjomu straujāks pieaugums </w:t>
      </w:r>
      <w:r w:rsidRPr="00A02E4F">
        <w:rPr>
          <w:rFonts w:ascii="Times New Roman" w:hAnsi="Times New Roman" w:cs="Times New Roman"/>
          <w:sz w:val="24"/>
          <w:szCs w:val="24"/>
        </w:rPr>
        <w:t>varētu ļaut uzņēmumiem palielināt investīcijas un mājsaimniecībām nedaudz palielināt patēriņu, jo šobrīd daļa no ienākumiem tiek novirzīta esošo kredītu atmaksai. Neskatoties uz pozitīvo ekonomikas izaugsmi pēdējos četros gados, uzņēmumiem un mājsaimniecībām izsniegto kredītu apjomi turpina samazināties. Izmaiņas kreditēšanas tendencēs pozitīvi ietekmētu eksporta un investīciju, kā arī privātā patēriņa apjomus, sevišķi vidējā termiņā.</w:t>
      </w:r>
    </w:p>
    <w:p w14:paraId="6161DF8A" w14:textId="77777777" w:rsidR="00A02E4F" w:rsidRPr="00A02E4F" w:rsidRDefault="00A02E4F" w:rsidP="008920E5">
      <w:pPr>
        <w:numPr>
          <w:ilvl w:val="0"/>
          <w:numId w:val="12"/>
        </w:numPr>
        <w:spacing w:after="60" w:line="240" w:lineRule="auto"/>
        <w:jc w:val="both"/>
        <w:rPr>
          <w:rFonts w:ascii="Times New Roman" w:hAnsi="Times New Roman" w:cs="Times New Roman"/>
          <w:b/>
          <w:sz w:val="24"/>
          <w:szCs w:val="24"/>
        </w:rPr>
      </w:pPr>
      <w:r w:rsidRPr="00A02E4F">
        <w:rPr>
          <w:rFonts w:ascii="Times New Roman" w:hAnsi="Times New Roman" w:cs="Times New Roman"/>
          <w:sz w:val="24"/>
          <w:szCs w:val="24"/>
        </w:rPr>
        <w:t>Krievijas ekonomiskās situācijas pasliktināšanās var aizkavēt šīs valsts ostu un dzelzceļa transporta infrastruktūras attīstības projektus, kā rezultātā Krievija uz laiku var atlikt kravu pārorientācijas plānus uz savām Baltijas jūras ostām, kas vidējā termiņā nodrošinātu</w:t>
      </w:r>
      <w:r w:rsidRPr="00A02E4F">
        <w:rPr>
          <w:rFonts w:ascii="Times New Roman" w:hAnsi="Times New Roman" w:cs="Times New Roman"/>
          <w:b/>
          <w:sz w:val="24"/>
          <w:szCs w:val="24"/>
        </w:rPr>
        <w:t xml:space="preserve"> lielāku kravu plūsmu Latvijas tranzīta koridorā nekā prognozēts iepriekš.</w:t>
      </w:r>
    </w:p>
    <w:p w14:paraId="02C996E4" w14:textId="77777777" w:rsidR="00A02E4F" w:rsidRDefault="00A02E4F" w:rsidP="008920E5">
      <w:pPr>
        <w:numPr>
          <w:ilvl w:val="0"/>
          <w:numId w:val="12"/>
        </w:numPr>
        <w:spacing w:after="60" w:line="240" w:lineRule="auto"/>
        <w:jc w:val="both"/>
        <w:rPr>
          <w:rFonts w:ascii="Times New Roman" w:hAnsi="Times New Roman" w:cs="Times New Roman"/>
          <w:sz w:val="24"/>
          <w:szCs w:val="24"/>
        </w:rPr>
      </w:pPr>
      <w:r w:rsidRPr="00A02E4F">
        <w:rPr>
          <w:rFonts w:ascii="Times New Roman" w:hAnsi="Times New Roman" w:cs="Times New Roman"/>
          <w:b/>
          <w:sz w:val="24"/>
          <w:szCs w:val="24"/>
        </w:rPr>
        <w:t>Augstāka nekā prognozēts</w:t>
      </w:r>
      <w:r w:rsidRPr="00A02E4F">
        <w:rPr>
          <w:rFonts w:ascii="Times New Roman" w:hAnsi="Times New Roman" w:cs="Times New Roman"/>
          <w:sz w:val="24"/>
          <w:szCs w:val="24"/>
        </w:rPr>
        <w:t xml:space="preserve"> </w:t>
      </w:r>
      <w:r w:rsidRPr="00A02E4F">
        <w:rPr>
          <w:rFonts w:ascii="Times New Roman" w:hAnsi="Times New Roman" w:cs="Times New Roman"/>
          <w:b/>
          <w:sz w:val="24"/>
          <w:szCs w:val="24"/>
        </w:rPr>
        <w:t>pasaules ekonomikas attīstība</w:t>
      </w:r>
      <w:r w:rsidRPr="00A02E4F">
        <w:rPr>
          <w:rFonts w:ascii="Times New Roman" w:hAnsi="Times New Roman" w:cs="Times New Roman"/>
          <w:sz w:val="24"/>
          <w:szCs w:val="24"/>
        </w:rPr>
        <w:t>, t.sk. ASV un attīstības valstīs var dot papildu stimulu Eiropas un Latvijas ekonomikas attīstībai.</w:t>
      </w:r>
    </w:p>
    <w:p w14:paraId="0AAE4F92" w14:textId="77777777" w:rsidR="003666E9" w:rsidRDefault="003666E9" w:rsidP="003666E9">
      <w:pPr>
        <w:spacing w:after="60" w:line="240" w:lineRule="auto"/>
        <w:jc w:val="both"/>
        <w:rPr>
          <w:rFonts w:ascii="Times New Roman" w:hAnsi="Times New Roman" w:cs="Times New Roman"/>
          <w:b/>
          <w:sz w:val="24"/>
          <w:szCs w:val="24"/>
        </w:rPr>
      </w:pPr>
    </w:p>
    <w:p w14:paraId="5C2F43FE" w14:textId="77777777" w:rsidR="00A34463" w:rsidRDefault="00A34463" w:rsidP="00BD3877">
      <w:pPr>
        <w:pStyle w:val="Heading2"/>
        <w:numPr>
          <w:ilvl w:val="1"/>
          <w:numId w:val="1"/>
        </w:numPr>
        <w:spacing w:after="120"/>
        <w:ind w:left="709"/>
        <w:rPr>
          <w:rFonts w:ascii="Times New Roman" w:hAnsi="Times New Roman" w:cs="Times New Roman"/>
          <w:sz w:val="24"/>
        </w:rPr>
      </w:pPr>
      <w:bookmarkStart w:id="13" w:name="_Toc416279074"/>
      <w:r w:rsidRPr="00F51615">
        <w:rPr>
          <w:rFonts w:ascii="Times New Roman" w:hAnsi="Times New Roman" w:cs="Times New Roman"/>
          <w:sz w:val="24"/>
        </w:rPr>
        <w:t>Jutīguma analīze</w:t>
      </w:r>
      <w:bookmarkEnd w:id="13"/>
    </w:p>
    <w:p w14:paraId="52C0D2F0" w14:textId="77777777" w:rsidR="003D38BE" w:rsidRPr="003D38BE" w:rsidRDefault="003D38BE" w:rsidP="00BD3877">
      <w:pPr>
        <w:spacing w:after="60" w:line="240" w:lineRule="auto"/>
        <w:ind w:firstLine="720"/>
        <w:jc w:val="both"/>
        <w:rPr>
          <w:rFonts w:ascii="Times New Roman" w:eastAsia="Times New Roman" w:hAnsi="Times New Roman" w:cs="Times New Roman"/>
          <w:color w:val="000000"/>
          <w:sz w:val="24"/>
          <w:szCs w:val="24"/>
        </w:rPr>
      </w:pPr>
      <w:r w:rsidRPr="003D38BE">
        <w:rPr>
          <w:rFonts w:ascii="Times New Roman" w:eastAsia="Times New Roman" w:hAnsi="Times New Roman" w:cs="Times New Roman"/>
          <w:color w:val="000000"/>
          <w:sz w:val="24"/>
          <w:szCs w:val="24"/>
        </w:rPr>
        <w:t>Balstoties uz iepriekšējā nodaļā apskatīto makroekonomisko risku iespējamo ietekmi uz tautsaimniecību, ir izstrādāti divi alternatīvie makroekonomiskās attīstības scenāriji.</w:t>
      </w:r>
    </w:p>
    <w:p w14:paraId="4A6922E5" w14:textId="3CBE40B0" w:rsidR="003D38BE" w:rsidRPr="003D38BE" w:rsidRDefault="003D38BE" w:rsidP="00BD3877">
      <w:pPr>
        <w:spacing w:after="60" w:line="240" w:lineRule="auto"/>
        <w:ind w:firstLine="720"/>
        <w:jc w:val="both"/>
        <w:rPr>
          <w:rFonts w:ascii="Times New Roman" w:eastAsia="Times New Roman" w:hAnsi="Times New Roman" w:cs="Times New Roman"/>
          <w:color w:val="000000"/>
          <w:sz w:val="24"/>
          <w:szCs w:val="24"/>
        </w:rPr>
      </w:pPr>
      <w:r w:rsidRPr="003D38BE">
        <w:rPr>
          <w:rFonts w:ascii="Times New Roman" w:eastAsia="Times New Roman" w:hAnsi="Times New Roman" w:cs="Times New Roman"/>
          <w:color w:val="000000"/>
          <w:sz w:val="24"/>
          <w:szCs w:val="24"/>
        </w:rPr>
        <w:t>Straujāka ekonomikas izaugsme nekā pašlaik prognozēts un optimistiskā scenārija īstenošan</w:t>
      </w:r>
      <w:r w:rsidR="00BD3877">
        <w:rPr>
          <w:rFonts w:ascii="Times New Roman" w:eastAsia="Times New Roman" w:hAnsi="Times New Roman" w:cs="Times New Roman"/>
          <w:color w:val="000000"/>
          <w:sz w:val="24"/>
          <w:szCs w:val="24"/>
        </w:rPr>
        <w:t>ās iespējama gadījumā, ja 2015.</w:t>
      </w:r>
      <w:r w:rsidRPr="003D38BE">
        <w:rPr>
          <w:rFonts w:ascii="Times New Roman" w:eastAsia="Times New Roman" w:hAnsi="Times New Roman" w:cs="Times New Roman"/>
          <w:color w:val="000000"/>
          <w:sz w:val="24"/>
          <w:szCs w:val="24"/>
        </w:rPr>
        <w:t>gada pirmajā pusē būs vērojami būtiski uzlabojumi ārējā ekonomiskajā vidē. Nozīmīgākie ārējās vides faktori, kas varētu uzlabot Latvijas ekonomikas izaugsmes rādītājus, ir ģeopolitiskās spriedzes mazināšanās un konflikta noregulēšana Ukrainā, kā rezultātā tiktu atceltas Krievijas un ES savstarpējās sankcijas. Papildus tam ES dalībvalstis turpina īstenot strukturālās reformas, kas kopā ar ECB īstenotajiem monetārās stimulēšanas pasākumiem un EK investīciju plānu ieviešanu ievērojami palielina ekonomikas izaugsmes tempus ES.</w:t>
      </w:r>
    </w:p>
    <w:p w14:paraId="3E6C7FA3" w14:textId="29A3092A" w:rsidR="003D38BE" w:rsidRDefault="003D38BE" w:rsidP="00BD3877">
      <w:pPr>
        <w:spacing w:after="60" w:line="240" w:lineRule="auto"/>
        <w:ind w:firstLine="720"/>
        <w:jc w:val="both"/>
        <w:rPr>
          <w:rFonts w:ascii="Times New Roman" w:eastAsia="Times New Roman" w:hAnsi="Times New Roman" w:cs="Times New Roman"/>
          <w:sz w:val="24"/>
          <w:szCs w:val="20"/>
        </w:rPr>
      </w:pPr>
      <w:r w:rsidRPr="003D38BE">
        <w:rPr>
          <w:rFonts w:ascii="Times New Roman" w:eastAsia="Times New Roman" w:hAnsi="Times New Roman" w:cs="Times New Roman"/>
          <w:sz w:val="24"/>
          <w:szCs w:val="20"/>
        </w:rPr>
        <w:t>Šāda notikumu attīstība būtiski uzlabotu uzņēmēju un investoru noskaņojumu, kā arī palielinātu pieprasījumu pēc Latvijas eksporta precēm. Tādējādi salīdzinājumā ar centrālo scenāriju būtu sagaidāms straujāks investīciju un eksporta pieauguma temps, kas vienlaikus ar patēriņu stimulējošiem faktoriem</w:t>
      </w:r>
      <w:r w:rsidR="00BD3877">
        <w:rPr>
          <w:rFonts w:ascii="Times New Roman" w:eastAsia="Times New Roman" w:hAnsi="Times New Roman" w:cs="Times New Roman"/>
          <w:sz w:val="24"/>
          <w:szCs w:val="20"/>
        </w:rPr>
        <w:t>,</w:t>
      </w:r>
      <w:r w:rsidRPr="003D38BE">
        <w:rPr>
          <w:rFonts w:ascii="Times New Roman" w:eastAsia="Times New Roman" w:hAnsi="Times New Roman" w:cs="Times New Roman"/>
          <w:sz w:val="24"/>
          <w:szCs w:val="20"/>
        </w:rPr>
        <w:t xml:space="preserve"> kā darba algu pieaugums</w:t>
      </w:r>
      <w:r w:rsidR="00BD3877">
        <w:rPr>
          <w:rFonts w:ascii="Times New Roman" w:eastAsia="Times New Roman" w:hAnsi="Times New Roman" w:cs="Times New Roman"/>
          <w:sz w:val="24"/>
          <w:szCs w:val="20"/>
        </w:rPr>
        <w:t>,</w:t>
      </w:r>
      <w:r w:rsidRPr="003D38BE">
        <w:rPr>
          <w:rFonts w:ascii="Times New Roman" w:eastAsia="Times New Roman" w:hAnsi="Times New Roman" w:cs="Times New Roman"/>
          <w:sz w:val="24"/>
          <w:szCs w:val="20"/>
        </w:rPr>
        <w:t xml:space="preserve"> veicinātu straujāku nekā centrālajā scenārijā prognozēts privātā patēriņa izaugsmi.</w:t>
      </w:r>
    </w:p>
    <w:p w14:paraId="30D0418D" w14:textId="77777777" w:rsidR="00142A2C" w:rsidRDefault="00142A2C">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70322C38" w14:textId="73664932" w:rsidR="003D38BE" w:rsidRPr="003D38BE" w:rsidRDefault="00C81719" w:rsidP="00142A2C">
      <w:pPr>
        <w:keepNext/>
        <w:spacing w:before="120" w:after="120" w:line="240" w:lineRule="auto"/>
        <w:ind w:left="720"/>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4.1.</w:t>
      </w:r>
      <w:r w:rsidR="003D38BE" w:rsidRPr="003D38BE">
        <w:rPr>
          <w:rFonts w:ascii="Times New Roman" w:eastAsia="Times New Roman" w:hAnsi="Times New Roman" w:cs="Times New Roman"/>
          <w:b/>
          <w:sz w:val="24"/>
          <w:szCs w:val="20"/>
        </w:rPr>
        <w:t>tabula. Optimistiskais makroekonomiskais scenārijs</w:t>
      </w:r>
    </w:p>
    <w:tbl>
      <w:tblPr>
        <w:tblStyle w:val="GridTable6ColorfulAccent1"/>
        <w:tblW w:w="8350" w:type="dxa"/>
        <w:jc w:val="center"/>
        <w:tblLayout w:type="fixed"/>
        <w:tblLook w:val="04A0" w:firstRow="1" w:lastRow="0" w:firstColumn="1" w:lastColumn="0" w:noHBand="0" w:noVBand="1"/>
      </w:tblPr>
      <w:tblGrid>
        <w:gridCol w:w="3544"/>
        <w:gridCol w:w="961"/>
        <w:gridCol w:w="961"/>
        <w:gridCol w:w="961"/>
        <w:gridCol w:w="961"/>
        <w:gridCol w:w="962"/>
      </w:tblGrid>
      <w:tr w:rsidR="002C10FB" w:rsidRPr="002C10FB" w14:paraId="3A97EFEA" w14:textId="77777777" w:rsidTr="002C10F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4FD75AC7" w14:textId="77777777" w:rsidR="003D38BE" w:rsidRPr="002C10FB" w:rsidRDefault="003D38BE" w:rsidP="003D38BE">
            <w:pPr>
              <w:keepNext/>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 xml:space="preserve">                                                  </w:t>
            </w:r>
          </w:p>
        </w:tc>
        <w:tc>
          <w:tcPr>
            <w:tcW w:w="961" w:type="dxa"/>
            <w:noWrap/>
            <w:vAlign w:val="center"/>
            <w:hideMark/>
          </w:tcPr>
          <w:p w14:paraId="13C256A4" w14:textId="77777777" w:rsidR="003D38BE" w:rsidRPr="002C10FB" w:rsidRDefault="003D38BE" w:rsidP="002C10FB">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2014</w:t>
            </w:r>
          </w:p>
        </w:tc>
        <w:tc>
          <w:tcPr>
            <w:tcW w:w="961" w:type="dxa"/>
            <w:noWrap/>
            <w:vAlign w:val="center"/>
            <w:hideMark/>
          </w:tcPr>
          <w:p w14:paraId="21829CF5" w14:textId="77777777" w:rsidR="003D38BE" w:rsidRPr="002C10FB" w:rsidRDefault="003D38BE" w:rsidP="002C10FB">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2015</w:t>
            </w:r>
          </w:p>
        </w:tc>
        <w:tc>
          <w:tcPr>
            <w:tcW w:w="961" w:type="dxa"/>
            <w:noWrap/>
            <w:vAlign w:val="center"/>
            <w:hideMark/>
          </w:tcPr>
          <w:p w14:paraId="2ACC3281" w14:textId="77777777" w:rsidR="003D38BE" w:rsidRPr="002C10FB" w:rsidRDefault="003D38BE" w:rsidP="002C10FB">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2016</w:t>
            </w:r>
          </w:p>
        </w:tc>
        <w:tc>
          <w:tcPr>
            <w:tcW w:w="961" w:type="dxa"/>
            <w:noWrap/>
            <w:vAlign w:val="center"/>
            <w:hideMark/>
          </w:tcPr>
          <w:p w14:paraId="76BA4DFC" w14:textId="77777777" w:rsidR="003D38BE" w:rsidRPr="002C10FB" w:rsidRDefault="003D38BE" w:rsidP="002C10FB">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2017</w:t>
            </w:r>
          </w:p>
        </w:tc>
        <w:tc>
          <w:tcPr>
            <w:tcW w:w="962" w:type="dxa"/>
            <w:noWrap/>
            <w:vAlign w:val="center"/>
            <w:hideMark/>
          </w:tcPr>
          <w:p w14:paraId="644EB58E" w14:textId="77777777" w:rsidR="003D38BE" w:rsidRPr="002C10FB" w:rsidRDefault="003D38BE" w:rsidP="002C10FB">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2018</w:t>
            </w:r>
          </w:p>
        </w:tc>
      </w:tr>
      <w:tr w:rsidR="002C10FB" w:rsidRPr="002C10FB" w14:paraId="006EB0C0"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71DBA9FD" w14:textId="796E6A82"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 xml:space="preserve">Iekšzemes kopprodukts, faktiskajās cenās, milj. </w:t>
            </w:r>
            <w:r w:rsidR="00BD3877" w:rsidRPr="002C10FB">
              <w:rPr>
                <w:rFonts w:ascii="Times New Roman" w:eastAsia="Times New Roman" w:hAnsi="Times New Roman" w:cs="Times New Roman"/>
                <w:b w:val="0"/>
                <w:i/>
                <w:color w:val="auto"/>
                <w:sz w:val="20"/>
                <w:szCs w:val="20"/>
              </w:rPr>
              <w:t>euro</w:t>
            </w:r>
          </w:p>
        </w:tc>
        <w:tc>
          <w:tcPr>
            <w:tcW w:w="961" w:type="dxa"/>
            <w:noWrap/>
            <w:vAlign w:val="center"/>
            <w:hideMark/>
          </w:tcPr>
          <w:p w14:paraId="131541C7"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24058,1</w:t>
            </w:r>
          </w:p>
        </w:tc>
        <w:tc>
          <w:tcPr>
            <w:tcW w:w="961" w:type="dxa"/>
            <w:noWrap/>
            <w:vAlign w:val="center"/>
            <w:hideMark/>
          </w:tcPr>
          <w:p w14:paraId="3189344E"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25304,7</w:t>
            </w:r>
          </w:p>
        </w:tc>
        <w:tc>
          <w:tcPr>
            <w:tcW w:w="961" w:type="dxa"/>
            <w:noWrap/>
            <w:vAlign w:val="center"/>
            <w:hideMark/>
          </w:tcPr>
          <w:p w14:paraId="77A852F9"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26908,4</w:t>
            </w:r>
          </w:p>
        </w:tc>
        <w:tc>
          <w:tcPr>
            <w:tcW w:w="961" w:type="dxa"/>
            <w:noWrap/>
            <w:vAlign w:val="center"/>
            <w:hideMark/>
          </w:tcPr>
          <w:p w14:paraId="0F8414F8"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28682,9</w:t>
            </w:r>
          </w:p>
        </w:tc>
        <w:tc>
          <w:tcPr>
            <w:tcW w:w="962" w:type="dxa"/>
            <w:noWrap/>
            <w:vAlign w:val="center"/>
            <w:hideMark/>
          </w:tcPr>
          <w:p w14:paraId="592520F8"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30590,9</w:t>
            </w:r>
          </w:p>
        </w:tc>
      </w:tr>
      <w:tr w:rsidR="002C10FB" w:rsidRPr="002C10FB" w14:paraId="27F67E4F" w14:textId="77777777" w:rsidTr="002C10FB">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317F6362" w14:textId="77777777" w:rsidR="003D38BE" w:rsidRPr="002C10FB" w:rsidRDefault="003D38BE" w:rsidP="003D38BE">
            <w:pPr>
              <w:ind w:firstLine="474"/>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pieaugums faktiskajās cenās , %</w:t>
            </w:r>
          </w:p>
        </w:tc>
        <w:tc>
          <w:tcPr>
            <w:tcW w:w="961" w:type="dxa"/>
            <w:noWrap/>
            <w:vAlign w:val="center"/>
            <w:hideMark/>
          </w:tcPr>
          <w:p w14:paraId="7F1471D4"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3,6</w:t>
            </w:r>
          </w:p>
        </w:tc>
        <w:tc>
          <w:tcPr>
            <w:tcW w:w="961" w:type="dxa"/>
            <w:noWrap/>
            <w:vAlign w:val="center"/>
            <w:hideMark/>
          </w:tcPr>
          <w:p w14:paraId="4E5FC571"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5,2</w:t>
            </w:r>
          </w:p>
        </w:tc>
        <w:tc>
          <w:tcPr>
            <w:tcW w:w="961" w:type="dxa"/>
            <w:noWrap/>
            <w:vAlign w:val="center"/>
            <w:hideMark/>
          </w:tcPr>
          <w:p w14:paraId="4B26662D"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6,3</w:t>
            </w:r>
          </w:p>
        </w:tc>
        <w:tc>
          <w:tcPr>
            <w:tcW w:w="961" w:type="dxa"/>
            <w:noWrap/>
            <w:vAlign w:val="center"/>
            <w:hideMark/>
          </w:tcPr>
          <w:p w14:paraId="1B2ABC4B"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6,6</w:t>
            </w:r>
          </w:p>
        </w:tc>
        <w:tc>
          <w:tcPr>
            <w:tcW w:w="962" w:type="dxa"/>
            <w:noWrap/>
            <w:vAlign w:val="center"/>
            <w:hideMark/>
          </w:tcPr>
          <w:p w14:paraId="51864AF5"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6,7</w:t>
            </w:r>
          </w:p>
        </w:tc>
      </w:tr>
      <w:tr w:rsidR="002C10FB" w:rsidRPr="002C10FB" w14:paraId="1242EA91"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3658665B" w14:textId="77777777" w:rsidR="003D38BE" w:rsidRPr="002C10FB" w:rsidRDefault="003D38BE" w:rsidP="003D38BE">
            <w:pPr>
              <w:ind w:firstLine="474"/>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pieaugums salīdzināmās cenās, %</w:t>
            </w:r>
          </w:p>
        </w:tc>
        <w:tc>
          <w:tcPr>
            <w:tcW w:w="961" w:type="dxa"/>
            <w:noWrap/>
            <w:vAlign w:val="center"/>
            <w:hideMark/>
          </w:tcPr>
          <w:p w14:paraId="785B79BC"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2,4</w:t>
            </w:r>
          </w:p>
        </w:tc>
        <w:tc>
          <w:tcPr>
            <w:tcW w:w="961" w:type="dxa"/>
            <w:noWrap/>
            <w:vAlign w:val="center"/>
            <w:hideMark/>
          </w:tcPr>
          <w:p w14:paraId="685A28D7"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3,5</w:t>
            </w:r>
          </w:p>
        </w:tc>
        <w:tc>
          <w:tcPr>
            <w:tcW w:w="961" w:type="dxa"/>
            <w:noWrap/>
            <w:vAlign w:val="center"/>
            <w:hideMark/>
          </w:tcPr>
          <w:p w14:paraId="65DDB092"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4,0</w:t>
            </w:r>
          </w:p>
        </w:tc>
        <w:tc>
          <w:tcPr>
            <w:tcW w:w="961" w:type="dxa"/>
            <w:noWrap/>
            <w:vAlign w:val="center"/>
            <w:hideMark/>
          </w:tcPr>
          <w:p w14:paraId="04CBC389"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4,0</w:t>
            </w:r>
          </w:p>
        </w:tc>
        <w:tc>
          <w:tcPr>
            <w:tcW w:w="962" w:type="dxa"/>
            <w:noWrap/>
            <w:vAlign w:val="center"/>
            <w:hideMark/>
          </w:tcPr>
          <w:p w14:paraId="181900DD"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4,0</w:t>
            </w:r>
          </w:p>
        </w:tc>
      </w:tr>
      <w:tr w:rsidR="002C10FB" w:rsidRPr="002C10FB" w14:paraId="21EB24F4" w14:textId="77777777" w:rsidTr="002C10FB">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2C2D6CB5" w14:textId="77777777"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PCI, (gada vidējā), %</w:t>
            </w:r>
          </w:p>
        </w:tc>
        <w:tc>
          <w:tcPr>
            <w:tcW w:w="961" w:type="dxa"/>
            <w:noWrap/>
            <w:vAlign w:val="center"/>
            <w:hideMark/>
          </w:tcPr>
          <w:p w14:paraId="65B01FC9"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0,6</w:t>
            </w:r>
          </w:p>
        </w:tc>
        <w:tc>
          <w:tcPr>
            <w:tcW w:w="961" w:type="dxa"/>
            <w:noWrap/>
            <w:vAlign w:val="center"/>
            <w:hideMark/>
          </w:tcPr>
          <w:p w14:paraId="30C05F87"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0,9</w:t>
            </w:r>
          </w:p>
        </w:tc>
        <w:tc>
          <w:tcPr>
            <w:tcW w:w="961" w:type="dxa"/>
            <w:noWrap/>
            <w:vAlign w:val="center"/>
            <w:hideMark/>
          </w:tcPr>
          <w:p w14:paraId="5F1D7B08"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2,4</w:t>
            </w:r>
          </w:p>
        </w:tc>
        <w:tc>
          <w:tcPr>
            <w:tcW w:w="961" w:type="dxa"/>
            <w:noWrap/>
            <w:vAlign w:val="center"/>
            <w:hideMark/>
          </w:tcPr>
          <w:p w14:paraId="0905DC91"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2,5</w:t>
            </w:r>
          </w:p>
        </w:tc>
        <w:tc>
          <w:tcPr>
            <w:tcW w:w="962" w:type="dxa"/>
            <w:noWrap/>
            <w:vAlign w:val="center"/>
            <w:hideMark/>
          </w:tcPr>
          <w:p w14:paraId="40EB676A"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2,5</w:t>
            </w:r>
          </w:p>
        </w:tc>
      </w:tr>
      <w:tr w:rsidR="002C10FB" w:rsidRPr="002C10FB" w14:paraId="3EE9412B"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54F55724" w14:textId="0919AD15"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 xml:space="preserve">Vidējā darba samaksa tautsaimniecība, </w:t>
            </w:r>
            <w:r w:rsidR="00BD3877" w:rsidRPr="002C10FB">
              <w:rPr>
                <w:rFonts w:ascii="Times New Roman" w:eastAsia="Times New Roman" w:hAnsi="Times New Roman" w:cs="Times New Roman"/>
                <w:b w:val="0"/>
                <w:i/>
                <w:color w:val="auto"/>
                <w:sz w:val="20"/>
                <w:szCs w:val="20"/>
              </w:rPr>
              <w:t>euro</w:t>
            </w:r>
          </w:p>
        </w:tc>
        <w:tc>
          <w:tcPr>
            <w:tcW w:w="961" w:type="dxa"/>
            <w:noWrap/>
            <w:vAlign w:val="center"/>
            <w:hideMark/>
          </w:tcPr>
          <w:p w14:paraId="631CEA40"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765,2</w:t>
            </w:r>
          </w:p>
        </w:tc>
        <w:tc>
          <w:tcPr>
            <w:tcW w:w="961" w:type="dxa"/>
            <w:noWrap/>
            <w:vAlign w:val="center"/>
            <w:hideMark/>
          </w:tcPr>
          <w:p w14:paraId="675381D9"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807,2</w:t>
            </w:r>
          </w:p>
        </w:tc>
        <w:tc>
          <w:tcPr>
            <w:tcW w:w="961" w:type="dxa"/>
            <w:noWrap/>
            <w:vAlign w:val="center"/>
            <w:hideMark/>
          </w:tcPr>
          <w:p w14:paraId="09A9518E"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855,7</w:t>
            </w:r>
          </w:p>
        </w:tc>
        <w:tc>
          <w:tcPr>
            <w:tcW w:w="961" w:type="dxa"/>
            <w:noWrap/>
            <w:vAlign w:val="center"/>
            <w:hideMark/>
          </w:tcPr>
          <w:p w14:paraId="3FAA6165"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907,0</w:t>
            </w:r>
          </w:p>
        </w:tc>
        <w:tc>
          <w:tcPr>
            <w:tcW w:w="962" w:type="dxa"/>
            <w:noWrap/>
            <w:vAlign w:val="center"/>
            <w:hideMark/>
          </w:tcPr>
          <w:p w14:paraId="06672B00"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959,6</w:t>
            </w:r>
          </w:p>
        </w:tc>
      </w:tr>
      <w:tr w:rsidR="002C10FB" w:rsidRPr="002C10FB" w14:paraId="0F628E2E" w14:textId="77777777" w:rsidTr="002C10FB">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575E1DF" w14:textId="77777777" w:rsidR="003D38BE" w:rsidRPr="002C10FB" w:rsidRDefault="003D38BE" w:rsidP="003D38BE">
            <w:pPr>
              <w:ind w:firstLine="474"/>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pieaugums faktiskajās cenās, %</w:t>
            </w:r>
          </w:p>
        </w:tc>
        <w:tc>
          <w:tcPr>
            <w:tcW w:w="961" w:type="dxa"/>
            <w:noWrap/>
            <w:vAlign w:val="center"/>
            <w:hideMark/>
          </w:tcPr>
          <w:p w14:paraId="6666D3EB"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6,8</w:t>
            </w:r>
          </w:p>
        </w:tc>
        <w:tc>
          <w:tcPr>
            <w:tcW w:w="961" w:type="dxa"/>
            <w:noWrap/>
            <w:vAlign w:val="center"/>
            <w:hideMark/>
          </w:tcPr>
          <w:p w14:paraId="11DCC926"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5,5</w:t>
            </w:r>
          </w:p>
        </w:tc>
        <w:tc>
          <w:tcPr>
            <w:tcW w:w="961" w:type="dxa"/>
            <w:noWrap/>
            <w:vAlign w:val="center"/>
            <w:hideMark/>
          </w:tcPr>
          <w:p w14:paraId="5E1D640F"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6,0</w:t>
            </w:r>
          </w:p>
        </w:tc>
        <w:tc>
          <w:tcPr>
            <w:tcW w:w="961" w:type="dxa"/>
            <w:noWrap/>
            <w:vAlign w:val="center"/>
            <w:hideMark/>
          </w:tcPr>
          <w:p w14:paraId="28948890"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6,0</w:t>
            </w:r>
          </w:p>
        </w:tc>
        <w:tc>
          <w:tcPr>
            <w:tcW w:w="962" w:type="dxa"/>
            <w:noWrap/>
            <w:vAlign w:val="center"/>
            <w:hideMark/>
          </w:tcPr>
          <w:p w14:paraId="6547D27A"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5,8</w:t>
            </w:r>
          </w:p>
        </w:tc>
      </w:tr>
      <w:tr w:rsidR="002C10FB" w:rsidRPr="002C10FB" w14:paraId="2DF9A89F"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52F537DA" w14:textId="77777777"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 xml:space="preserve">Nodarbinātība, tūkst. cilvēku </w:t>
            </w:r>
          </w:p>
        </w:tc>
        <w:tc>
          <w:tcPr>
            <w:tcW w:w="961" w:type="dxa"/>
            <w:noWrap/>
            <w:vAlign w:val="center"/>
            <w:hideMark/>
          </w:tcPr>
          <w:p w14:paraId="246C886E"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884,6</w:t>
            </w:r>
          </w:p>
        </w:tc>
        <w:tc>
          <w:tcPr>
            <w:tcW w:w="961" w:type="dxa"/>
            <w:noWrap/>
            <w:vAlign w:val="center"/>
            <w:hideMark/>
          </w:tcPr>
          <w:p w14:paraId="72BA9C74"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889,0</w:t>
            </w:r>
          </w:p>
        </w:tc>
        <w:tc>
          <w:tcPr>
            <w:tcW w:w="961" w:type="dxa"/>
            <w:noWrap/>
            <w:vAlign w:val="center"/>
            <w:hideMark/>
          </w:tcPr>
          <w:p w14:paraId="7C110CB1"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894,4</w:t>
            </w:r>
          </w:p>
        </w:tc>
        <w:tc>
          <w:tcPr>
            <w:tcW w:w="961" w:type="dxa"/>
            <w:noWrap/>
            <w:vAlign w:val="center"/>
            <w:hideMark/>
          </w:tcPr>
          <w:p w14:paraId="3520DA90"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899,7</w:t>
            </w:r>
          </w:p>
        </w:tc>
        <w:tc>
          <w:tcPr>
            <w:tcW w:w="962" w:type="dxa"/>
            <w:noWrap/>
            <w:vAlign w:val="center"/>
            <w:hideMark/>
          </w:tcPr>
          <w:p w14:paraId="486D8E52"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905,1</w:t>
            </w:r>
          </w:p>
        </w:tc>
      </w:tr>
      <w:tr w:rsidR="002C10FB" w:rsidRPr="002C10FB" w14:paraId="3A4EC112" w14:textId="77777777" w:rsidTr="002C10FB">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5DC6A484" w14:textId="77777777" w:rsidR="003D38BE" w:rsidRPr="002C10FB" w:rsidRDefault="003D38BE" w:rsidP="003D38BE">
            <w:pPr>
              <w:ind w:firstLine="474"/>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pieaugums, %</w:t>
            </w:r>
          </w:p>
        </w:tc>
        <w:tc>
          <w:tcPr>
            <w:tcW w:w="961" w:type="dxa"/>
            <w:noWrap/>
            <w:vAlign w:val="center"/>
            <w:hideMark/>
          </w:tcPr>
          <w:p w14:paraId="28A2441B"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-1,0</w:t>
            </w:r>
          </w:p>
        </w:tc>
        <w:tc>
          <w:tcPr>
            <w:tcW w:w="961" w:type="dxa"/>
            <w:noWrap/>
            <w:vAlign w:val="center"/>
            <w:hideMark/>
          </w:tcPr>
          <w:p w14:paraId="741B85B7"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0,5</w:t>
            </w:r>
          </w:p>
        </w:tc>
        <w:tc>
          <w:tcPr>
            <w:tcW w:w="961" w:type="dxa"/>
            <w:noWrap/>
            <w:vAlign w:val="center"/>
            <w:hideMark/>
          </w:tcPr>
          <w:p w14:paraId="5EE5A960"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0,6</w:t>
            </w:r>
          </w:p>
        </w:tc>
        <w:tc>
          <w:tcPr>
            <w:tcW w:w="961" w:type="dxa"/>
            <w:noWrap/>
            <w:vAlign w:val="center"/>
            <w:hideMark/>
          </w:tcPr>
          <w:p w14:paraId="2B9FB74C"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0,6</w:t>
            </w:r>
          </w:p>
        </w:tc>
        <w:tc>
          <w:tcPr>
            <w:tcW w:w="962" w:type="dxa"/>
            <w:noWrap/>
            <w:vAlign w:val="center"/>
            <w:hideMark/>
          </w:tcPr>
          <w:p w14:paraId="294795E8"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0,6</w:t>
            </w:r>
          </w:p>
        </w:tc>
      </w:tr>
      <w:tr w:rsidR="002C10FB" w:rsidRPr="002C10FB" w14:paraId="1C1BB331"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7A519691" w14:textId="77777777"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Bezdarba līmenis (gada vidējais), % no ekon. aktīviem iedzīvotājiem</w:t>
            </w:r>
          </w:p>
        </w:tc>
        <w:tc>
          <w:tcPr>
            <w:tcW w:w="961" w:type="dxa"/>
            <w:noWrap/>
            <w:vAlign w:val="center"/>
            <w:hideMark/>
          </w:tcPr>
          <w:p w14:paraId="270A405F"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10,8</w:t>
            </w:r>
          </w:p>
        </w:tc>
        <w:tc>
          <w:tcPr>
            <w:tcW w:w="961" w:type="dxa"/>
            <w:noWrap/>
            <w:vAlign w:val="center"/>
            <w:hideMark/>
          </w:tcPr>
          <w:p w14:paraId="4F54548D"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9,8</w:t>
            </w:r>
          </w:p>
        </w:tc>
        <w:tc>
          <w:tcPr>
            <w:tcW w:w="961" w:type="dxa"/>
            <w:noWrap/>
            <w:vAlign w:val="center"/>
            <w:hideMark/>
          </w:tcPr>
          <w:p w14:paraId="713C8F78"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9,0</w:t>
            </w:r>
          </w:p>
        </w:tc>
        <w:tc>
          <w:tcPr>
            <w:tcW w:w="961" w:type="dxa"/>
            <w:noWrap/>
            <w:vAlign w:val="center"/>
            <w:hideMark/>
          </w:tcPr>
          <w:p w14:paraId="3B58DE2A"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8,3</w:t>
            </w:r>
          </w:p>
        </w:tc>
        <w:tc>
          <w:tcPr>
            <w:tcW w:w="962" w:type="dxa"/>
            <w:noWrap/>
            <w:vAlign w:val="center"/>
            <w:hideMark/>
          </w:tcPr>
          <w:p w14:paraId="5B4FB691"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7,8</w:t>
            </w:r>
          </w:p>
        </w:tc>
      </w:tr>
      <w:tr w:rsidR="002C10FB" w:rsidRPr="002C10FB" w14:paraId="3CAE0B86" w14:textId="77777777" w:rsidTr="002C10FB">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6DB62275" w14:textId="77777777"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Eksporta pieauguma tempi faktiskajās cenās, %</w:t>
            </w:r>
          </w:p>
        </w:tc>
        <w:tc>
          <w:tcPr>
            <w:tcW w:w="961" w:type="dxa"/>
            <w:noWrap/>
            <w:vAlign w:val="center"/>
            <w:hideMark/>
          </w:tcPr>
          <w:p w14:paraId="7F54E387"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0,9</w:t>
            </w:r>
          </w:p>
        </w:tc>
        <w:tc>
          <w:tcPr>
            <w:tcW w:w="961" w:type="dxa"/>
            <w:noWrap/>
            <w:vAlign w:val="center"/>
            <w:hideMark/>
          </w:tcPr>
          <w:p w14:paraId="76A9AA26"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4,4</w:t>
            </w:r>
          </w:p>
        </w:tc>
        <w:tc>
          <w:tcPr>
            <w:tcW w:w="961" w:type="dxa"/>
            <w:noWrap/>
            <w:vAlign w:val="center"/>
            <w:hideMark/>
          </w:tcPr>
          <w:p w14:paraId="65F17A99"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5,2</w:t>
            </w:r>
          </w:p>
        </w:tc>
        <w:tc>
          <w:tcPr>
            <w:tcW w:w="961" w:type="dxa"/>
            <w:noWrap/>
            <w:vAlign w:val="center"/>
            <w:hideMark/>
          </w:tcPr>
          <w:p w14:paraId="7BF93717"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6,7</w:t>
            </w:r>
          </w:p>
        </w:tc>
        <w:tc>
          <w:tcPr>
            <w:tcW w:w="962" w:type="dxa"/>
            <w:noWrap/>
            <w:vAlign w:val="center"/>
            <w:hideMark/>
          </w:tcPr>
          <w:p w14:paraId="22C362B2"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7,2</w:t>
            </w:r>
          </w:p>
        </w:tc>
      </w:tr>
      <w:tr w:rsidR="002C10FB" w:rsidRPr="002C10FB" w14:paraId="673C5BE3"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7BFCEABE" w14:textId="77777777"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Importa pieauguma tempi faktiskajās cenās, %</w:t>
            </w:r>
          </w:p>
        </w:tc>
        <w:tc>
          <w:tcPr>
            <w:tcW w:w="961" w:type="dxa"/>
            <w:noWrap/>
            <w:vAlign w:val="center"/>
            <w:hideMark/>
          </w:tcPr>
          <w:p w14:paraId="30C67DC6"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1,1</w:t>
            </w:r>
          </w:p>
        </w:tc>
        <w:tc>
          <w:tcPr>
            <w:tcW w:w="961" w:type="dxa"/>
            <w:noWrap/>
            <w:vAlign w:val="center"/>
            <w:hideMark/>
          </w:tcPr>
          <w:p w14:paraId="49D3ED6B"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3,0</w:t>
            </w:r>
          </w:p>
        </w:tc>
        <w:tc>
          <w:tcPr>
            <w:tcW w:w="961" w:type="dxa"/>
            <w:noWrap/>
            <w:vAlign w:val="center"/>
            <w:hideMark/>
          </w:tcPr>
          <w:p w14:paraId="62480F90"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5,2</w:t>
            </w:r>
          </w:p>
        </w:tc>
        <w:tc>
          <w:tcPr>
            <w:tcW w:w="961" w:type="dxa"/>
            <w:noWrap/>
            <w:vAlign w:val="center"/>
            <w:hideMark/>
          </w:tcPr>
          <w:p w14:paraId="018A0486"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6,7</w:t>
            </w:r>
          </w:p>
        </w:tc>
        <w:tc>
          <w:tcPr>
            <w:tcW w:w="962" w:type="dxa"/>
            <w:noWrap/>
            <w:vAlign w:val="center"/>
            <w:hideMark/>
          </w:tcPr>
          <w:p w14:paraId="26DC29CD"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7,4</w:t>
            </w:r>
          </w:p>
        </w:tc>
      </w:tr>
    </w:tbl>
    <w:p w14:paraId="119E0492" w14:textId="48CC8A03" w:rsidR="003D38BE" w:rsidRPr="003D38BE" w:rsidRDefault="003D38BE" w:rsidP="00BD3877">
      <w:pPr>
        <w:spacing w:before="120" w:after="60" w:line="240" w:lineRule="auto"/>
        <w:ind w:firstLine="720"/>
        <w:jc w:val="both"/>
        <w:rPr>
          <w:rFonts w:ascii="Times New Roman" w:eastAsia="Times New Roman" w:hAnsi="Times New Roman" w:cs="Times New Roman"/>
          <w:color w:val="000000"/>
          <w:sz w:val="24"/>
          <w:szCs w:val="24"/>
        </w:rPr>
      </w:pPr>
      <w:r w:rsidRPr="003D38BE">
        <w:rPr>
          <w:rFonts w:ascii="Times New Roman" w:eastAsia="Times New Roman" w:hAnsi="Times New Roman" w:cs="Times New Roman"/>
          <w:color w:val="000000"/>
          <w:sz w:val="24"/>
          <w:szCs w:val="24"/>
        </w:rPr>
        <w:t>Optimistiskā scenārija gadīju</w:t>
      </w:r>
      <w:r w:rsidR="00BD3877">
        <w:rPr>
          <w:rFonts w:ascii="Times New Roman" w:eastAsia="Times New Roman" w:hAnsi="Times New Roman" w:cs="Times New Roman"/>
          <w:color w:val="000000"/>
          <w:sz w:val="24"/>
          <w:szCs w:val="24"/>
        </w:rPr>
        <w:t>mā IKP salīdzināmās cenās 2015.</w:t>
      </w:r>
      <w:r w:rsidRPr="003D38BE">
        <w:rPr>
          <w:rFonts w:ascii="Times New Roman" w:eastAsia="Times New Roman" w:hAnsi="Times New Roman" w:cs="Times New Roman"/>
          <w:color w:val="000000"/>
          <w:sz w:val="24"/>
          <w:szCs w:val="24"/>
        </w:rPr>
        <w:t>gadā palielinātos par 3,5%, savukārt vidējā termiņā par 4,0% katru gadu. Īstenojoties optimistiskajam sce</w:t>
      </w:r>
      <w:r w:rsidR="00BD3877">
        <w:rPr>
          <w:rFonts w:ascii="Times New Roman" w:eastAsia="Times New Roman" w:hAnsi="Times New Roman" w:cs="Times New Roman"/>
          <w:color w:val="000000"/>
          <w:sz w:val="24"/>
          <w:szCs w:val="24"/>
        </w:rPr>
        <w:t>nārijam, nodokļu ieņēmumi 2015.</w:t>
      </w:r>
      <w:r w:rsidRPr="003D38BE">
        <w:rPr>
          <w:rFonts w:ascii="Times New Roman" w:eastAsia="Times New Roman" w:hAnsi="Times New Roman" w:cs="Times New Roman"/>
          <w:color w:val="000000"/>
          <w:sz w:val="24"/>
          <w:szCs w:val="24"/>
        </w:rPr>
        <w:t xml:space="preserve">gadā būtu par 126,7 milj. </w:t>
      </w:r>
      <w:r w:rsidR="00BD3877" w:rsidRPr="0009609E">
        <w:rPr>
          <w:rFonts w:ascii="Times New Roman" w:eastAsia="Times New Roman" w:hAnsi="Times New Roman" w:cs="Times New Roman"/>
          <w:i/>
          <w:sz w:val="24"/>
          <w:szCs w:val="24"/>
        </w:rPr>
        <w:t>euro</w:t>
      </w:r>
      <w:r w:rsidRPr="003D38BE">
        <w:rPr>
          <w:rFonts w:ascii="Times New Roman" w:eastAsia="Times New Roman" w:hAnsi="Times New Roman" w:cs="Times New Roman"/>
          <w:color w:val="000000"/>
          <w:sz w:val="24"/>
          <w:szCs w:val="24"/>
        </w:rPr>
        <w:t>, jeb 0,5% no IKP augstāki nekā bāzes scenārijā.</w:t>
      </w:r>
      <w:r w:rsidR="00BD3877">
        <w:rPr>
          <w:rFonts w:ascii="Times New Roman" w:eastAsia="Times New Roman" w:hAnsi="Times New Roman" w:cs="Times New Roman"/>
          <w:color w:val="000000"/>
          <w:sz w:val="24"/>
          <w:szCs w:val="24"/>
        </w:rPr>
        <w:t xml:space="preserve"> Savukārt 2016., 2017. un 2018.</w:t>
      </w:r>
      <w:r w:rsidRPr="003D38BE">
        <w:rPr>
          <w:rFonts w:ascii="Times New Roman" w:eastAsia="Times New Roman" w:hAnsi="Times New Roman" w:cs="Times New Roman"/>
          <w:color w:val="000000"/>
          <w:sz w:val="24"/>
          <w:szCs w:val="24"/>
        </w:rPr>
        <w:t xml:space="preserve">gadā nodokļu ieņēmumi būtu par attiecīgi 0,9% (227,8 milj. </w:t>
      </w:r>
      <w:r w:rsidR="00BD3877" w:rsidRPr="0009609E">
        <w:rPr>
          <w:rFonts w:ascii="Times New Roman" w:eastAsia="Times New Roman" w:hAnsi="Times New Roman" w:cs="Times New Roman"/>
          <w:i/>
          <w:sz w:val="24"/>
          <w:szCs w:val="24"/>
        </w:rPr>
        <w:t>euro</w:t>
      </w:r>
      <w:r w:rsidRPr="003D38BE">
        <w:rPr>
          <w:rFonts w:ascii="Times New Roman" w:eastAsia="Times New Roman" w:hAnsi="Times New Roman" w:cs="Times New Roman"/>
          <w:color w:val="000000"/>
          <w:sz w:val="24"/>
          <w:szCs w:val="24"/>
        </w:rPr>
        <w:t xml:space="preserve">), 1,0% (272,2 milj. </w:t>
      </w:r>
      <w:r w:rsidR="00BD3877" w:rsidRPr="0009609E">
        <w:rPr>
          <w:rFonts w:ascii="Times New Roman" w:eastAsia="Times New Roman" w:hAnsi="Times New Roman" w:cs="Times New Roman"/>
          <w:i/>
          <w:sz w:val="24"/>
          <w:szCs w:val="24"/>
        </w:rPr>
        <w:t>euro</w:t>
      </w:r>
      <w:r w:rsidRPr="003D38BE">
        <w:rPr>
          <w:rFonts w:ascii="Times New Roman" w:eastAsia="Times New Roman" w:hAnsi="Times New Roman" w:cs="Times New Roman"/>
          <w:color w:val="000000"/>
          <w:sz w:val="24"/>
          <w:szCs w:val="24"/>
        </w:rPr>
        <w:t xml:space="preserve">) un 1,1% (325,2 milj. </w:t>
      </w:r>
      <w:r w:rsidR="00BD3877" w:rsidRPr="0009609E">
        <w:rPr>
          <w:rFonts w:ascii="Times New Roman" w:eastAsia="Times New Roman" w:hAnsi="Times New Roman" w:cs="Times New Roman"/>
          <w:i/>
          <w:sz w:val="24"/>
          <w:szCs w:val="24"/>
        </w:rPr>
        <w:t>euro</w:t>
      </w:r>
      <w:r w:rsidRPr="003D38BE">
        <w:rPr>
          <w:rFonts w:ascii="Times New Roman" w:eastAsia="Times New Roman" w:hAnsi="Times New Roman" w:cs="Times New Roman"/>
          <w:color w:val="000000"/>
          <w:sz w:val="24"/>
          <w:szCs w:val="24"/>
        </w:rPr>
        <w:t>) no IKP augstāki nekā bāzes scenārijā.</w:t>
      </w:r>
    </w:p>
    <w:p w14:paraId="762222D0" w14:textId="77777777" w:rsidR="003D38BE" w:rsidRPr="003D38BE" w:rsidRDefault="003D38BE" w:rsidP="00BD3877">
      <w:pPr>
        <w:spacing w:after="60" w:line="240" w:lineRule="auto"/>
        <w:ind w:firstLine="720"/>
        <w:jc w:val="both"/>
        <w:rPr>
          <w:rFonts w:ascii="Times New Roman" w:eastAsia="Times New Roman" w:hAnsi="Times New Roman" w:cs="Times New Roman"/>
          <w:color w:val="000000"/>
          <w:sz w:val="24"/>
          <w:szCs w:val="24"/>
        </w:rPr>
      </w:pPr>
      <w:r w:rsidRPr="003D38BE">
        <w:rPr>
          <w:rFonts w:ascii="Times New Roman" w:eastAsia="Times New Roman" w:hAnsi="Times New Roman" w:cs="Times New Roman"/>
          <w:color w:val="000000"/>
          <w:sz w:val="24"/>
          <w:szCs w:val="24"/>
        </w:rPr>
        <w:t xml:space="preserve">Pesimistiskā scenārija realizēšanos noteiktu viena vai vairāku negatīvo risku īstenošanās, tomēr būtiskākais no riskiem joprojām ir ģeopolitiskā situācija reģionā. Pesimistiskais scenārijs veidots, pieņemot, ka ģeopolitiskā situācija reģionā turpina saasināties un Ukrainā notiek karadarbības eskalācija. Tā rezultātā starp ES un Krieviju tiek noteiktas jaunas abpusējas sankcijas un šo sankciju rezultātā turpina samazināties Latvijas, kā arī Lietuvas, Igaunijas un citu Latvijai būtisku tirdzniecības partnervalstu eksports uz Krieviju. Šie efekti būtu savstarpēji papildinoši, kā rezultātā Lietuvas un Igaunijas izaugsmes samazināšanās papildus bremzētu ekonomisko izaugsmi Latvijā. </w:t>
      </w:r>
    </w:p>
    <w:p w14:paraId="169E743C" w14:textId="77777777" w:rsidR="003D38BE" w:rsidRDefault="003D38BE" w:rsidP="00BD3877">
      <w:pPr>
        <w:spacing w:after="60" w:line="240" w:lineRule="auto"/>
        <w:ind w:firstLine="720"/>
        <w:jc w:val="both"/>
        <w:rPr>
          <w:rFonts w:ascii="Times New Roman" w:eastAsia="Times New Roman" w:hAnsi="Times New Roman" w:cs="Times New Roman"/>
          <w:color w:val="000000"/>
          <w:sz w:val="24"/>
          <w:szCs w:val="24"/>
        </w:rPr>
      </w:pPr>
      <w:r w:rsidRPr="003D38BE">
        <w:rPr>
          <w:rFonts w:ascii="Times New Roman" w:eastAsia="Times New Roman" w:hAnsi="Times New Roman" w:cs="Times New Roman"/>
          <w:color w:val="000000"/>
          <w:sz w:val="24"/>
          <w:szCs w:val="24"/>
        </w:rPr>
        <w:t>Papildus tiešajiem efektiem ekonomikas turpmāko izaugsmi ietekmētu arī netiešie faktori. Ekonomikas izaugsmei vēl vairāk sabremzējoties, pasliktinātos patērētāju un uzņēmēju noskaņojums. Uzņēmējiem kļūstot piesardzīgiem, mazinātos investīcijas, kā arī pasliktinātos situācija darba tirgū, uzņēmējiem izvēloties nogaidīt ar jaunu darbinieku pieņemšanu un darba samaksas turpmāku paaugstināšanu. Tādējādi mazinātos iedzīvotāju ieņēmumi un pieaugtu viņu piesardzība attiecībā uz tēriņiem, kas bremzētu privātā patēriņa attīstību.</w:t>
      </w:r>
    </w:p>
    <w:p w14:paraId="128E78FC" w14:textId="77777777" w:rsidR="00142A2C" w:rsidRDefault="00142A2C">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57DDE036" w14:textId="23503011" w:rsidR="003D38BE" w:rsidRPr="003D38BE" w:rsidRDefault="00C81719" w:rsidP="00BD3877">
      <w:pPr>
        <w:keepNext/>
        <w:spacing w:after="120" w:line="240" w:lineRule="auto"/>
        <w:ind w:left="720"/>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4.2.</w:t>
      </w:r>
      <w:r w:rsidR="003D38BE" w:rsidRPr="003D38BE">
        <w:rPr>
          <w:rFonts w:ascii="Times New Roman" w:eastAsia="Times New Roman" w:hAnsi="Times New Roman" w:cs="Times New Roman"/>
          <w:b/>
          <w:sz w:val="24"/>
          <w:szCs w:val="20"/>
        </w:rPr>
        <w:t>tabula. Pesimistiskais makroekonomiskais scenārijs</w:t>
      </w:r>
    </w:p>
    <w:tbl>
      <w:tblPr>
        <w:tblStyle w:val="GridTable6ColorfulAccent1"/>
        <w:tblW w:w="8364" w:type="dxa"/>
        <w:jc w:val="center"/>
        <w:tblLayout w:type="fixed"/>
        <w:tblLook w:val="04A0" w:firstRow="1" w:lastRow="0" w:firstColumn="1" w:lastColumn="0" w:noHBand="0" w:noVBand="1"/>
      </w:tblPr>
      <w:tblGrid>
        <w:gridCol w:w="3544"/>
        <w:gridCol w:w="964"/>
        <w:gridCol w:w="964"/>
        <w:gridCol w:w="964"/>
        <w:gridCol w:w="964"/>
        <w:gridCol w:w="964"/>
      </w:tblGrid>
      <w:tr w:rsidR="002C10FB" w:rsidRPr="002C10FB" w14:paraId="35D10C7E" w14:textId="77777777" w:rsidTr="002C10F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75EF5D38" w14:textId="77777777" w:rsidR="003D38BE" w:rsidRPr="002C10FB" w:rsidRDefault="003D38BE" w:rsidP="003D38BE">
            <w:pPr>
              <w:keepNext/>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 xml:space="preserve">                                                  </w:t>
            </w:r>
          </w:p>
        </w:tc>
        <w:tc>
          <w:tcPr>
            <w:tcW w:w="964" w:type="dxa"/>
            <w:noWrap/>
            <w:vAlign w:val="center"/>
            <w:hideMark/>
          </w:tcPr>
          <w:p w14:paraId="7AD812DE" w14:textId="77777777" w:rsidR="003D38BE" w:rsidRPr="002C10FB" w:rsidRDefault="003D38BE" w:rsidP="002C10FB">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2014</w:t>
            </w:r>
          </w:p>
        </w:tc>
        <w:tc>
          <w:tcPr>
            <w:tcW w:w="964" w:type="dxa"/>
            <w:noWrap/>
            <w:vAlign w:val="center"/>
            <w:hideMark/>
          </w:tcPr>
          <w:p w14:paraId="4E58D3A5" w14:textId="77777777" w:rsidR="003D38BE" w:rsidRPr="002C10FB" w:rsidRDefault="003D38BE" w:rsidP="002C10FB">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2015</w:t>
            </w:r>
          </w:p>
        </w:tc>
        <w:tc>
          <w:tcPr>
            <w:tcW w:w="964" w:type="dxa"/>
            <w:noWrap/>
            <w:vAlign w:val="center"/>
            <w:hideMark/>
          </w:tcPr>
          <w:p w14:paraId="40BC4AAA" w14:textId="77777777" w:rsidR="003D38BE" w:rsidRPr="002C10FB" w:rsidRDefault="003D38BE" w:rsidP="002C10FB">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2016</w:t>
            </w:r>
          </w:p>
        </w:tc>
        <w:tc>
          <w:tcPr>
            <w:tcW w:w="964" w:type="dxa"/>
            <w:noWrap/>
            <w:vAlign w:val="center"/>
            <w:hideMark/>
          </w:tcPr>
          <w:p w14:paraId="128940EA" w14:textId="77777777" w:rsidR="003D38BE" w:rsidRPr="002C10FB" w:rsidRDefault="003D38BE" w:rsidP="002C10FB">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2017</w:t>
            </w:r>
          </w:p>
        </w:tc>
        <w:tc>
          <w:tcPr>
            <w:tcW w:w="964" w:type="dxa"/>
            <w:noWrap/>
            <w:vAlign w:val="center"/>
            <w:hideMark/>
          </w:tcPr>
          <w:p w14:paraId="368C0CBA" w14:textId="77777777" w:rsidR="003D38BE" w:rsidRPr="002C10FB" w:rsidRDefault="003D38BE" w:rsidP="002C10FB">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2018</w:t>
            </w:r>
          </w:p>
        </w:tc>
      </w:tr>
      <w:tr w:rsidR="002C10FB" w:rsidRPr="002C10FB" w14:paraId="6AE8F42B"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2FD91E35" w14:textId="10CAED34"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 xml:space="preserve">Iekšzemes kopprodukts, faktiskajās cenās, milj. </w:t>
            </w:r>
            <w:r w:rsidR="00BD3877" w:rsidRPr="002C10FB">
              <w:rPr>
                <w:rFonts w:ascii="Times New Roman" w:eastAsia="Times New Roman" w:hAnsi="Times New Roman" w:cs="Times New Roman"/>
                <w:b w:val="0"/>
                <w:i/>
                <w:color w:val="auto"/>
                <w:sz w:val="20"/>
                <w:szCs w:val="24"/>
              </w:rPr>
              <w:t>euro</w:t>
            </w:r>
          </w:p>
        </w:tc>
        <w:tc>
          <w:tcPr>
            <w:tcW w:w="964" w:type="dxa"/>
            <w:noWrap/>
            <w:vAlign w:val="center"/>
            <w:hideMark/>
          </w:tcPr>
          <w:p w14:paraId="3768A854"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24058,1</w:t>
            </w:r>
          </w:p>
        </w:tc>
        <w:tc>
          <w:tcPr>
            <w:tcW w:w="964" w:type="dxa"/>
            <w:noWrap/>
            <w:vAlign w:val="center"/>
            <w:hideMark/>
          </w:tcPr>
          <w:p w14:paraId="450E6686"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24289,9</w:t>
            </w:r>
          </w:p>
        </w:tc>
        <w:tc>
          <w:tcPr>
            <w:tcW w:w="964" w:type="dxa"/>
            <w:noWrap/>
            <w:vAlign w:val="center"/>
            <w:hideMark/>
          </w:tcPr>
          <w:p w14:paraId="547FEB82"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24876,9</w:t>
            </w:r>
          </w:p>
        </w:tc>
        <w:tc>
          <w:tcPr>
            <w:tcW w:w="964" w:type="dxa"/>
            <w:noWrap/>
            <w:vAlign w:val="center"/>
            <w:hideMark/>
          </w:tcPr>
          <w:p w14:paraId="4A7AC958"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26140,8</w:t>
            </w:r>
          </w:p>
        </w:tc>
        <w:tc>
          <w:tcPr>
            <w:tcW w:w="964" w:type="dxa"/>
            <w:noWrap/>
            <w:vAlign w:val="center"/>
            <w:hideMark/>
          </w:tcPr>
          <w:p w14:paraId="638B1D1E"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27752,0</w:t>
            </w:r>
          </w:p>
        </w:tc>
      </w:tr>
      <w:tr w:rsidR="002C10FB" w:rsidRPr="002C10FB" w14:paraId="2F8A99E3" w14:textId="77777777" w:rsidTr="002C10FB">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05EC0186" w14:textId="77777777" w:rsidR="003D38BE" w:rsidRPr="002C10FB" w:rsidRDefault="003D38BE" w:rsidP="003D38BE">
            <w:pPr>
              <w:ind w:firstLine="474"/>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pieaugums faktiskajās cenās , %</w:t>
            </w:r>
          </w:p>
        </w:tc>
        <w:tc>
          <w:tcPr>
            <w:tcW w:w="964" w:type="dxa"/>
            <w:noWrap/>
            <w:vAlign w:val="center"/>
            <w:hideMark/>
          </w:tcPr>
          <w:p w14:paraId="4A03145F"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3,6</w:t>
            </w:r>
          </w:p>
        </w:tc>
        <w:tc>
          <w:tcPr>
            <w:tcW w:w="964" w:type="dxa"/>
            <w:noWrap/>
            <w:vAlign w:val="center"/>
            <w:hideMark/>
          </w:tcPr>
          <w:p w14:paraId="73315E2B"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1,0</w:t>
            </w:r>
          </w:p>
        </w:tc>
        <w:tc>
          <w:tcPr>
            <w:tcW w:w="964" w:type="dxa"/>
            <w:noWrap/>
            <w:vAlign w:val="center"/>
            <w:hideMark/>
          </w:tcPr>
          <w:p w14:paraId="47F699C5"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2,4</w:t>
            </w:r>
          </w:p>
        </w:tc>
        <w:tc>
          <w:tcPr>
            <w:tcW w:w="964" w:type="dxa"/>
            <w:noWrap/>
            <w:vAlign w:val="center"/>
            <w:hideMark/>
          </w:tcPr>
          <w:p w14:paraId="5A760809"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5,1</w:t>
            </w:r>
          </w:p>
        </w:tc>
        <w:tc>
          <w:tcPr>
            <w:tcW w:w="964" w:type="dxa"/>
            <w:noWrap/>
            <w:vAlign w:val="center"/>
            <w:hideMark/>
          </w:tcPr>
          <w:p w14:paraId="7D1F2991"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6,2</w:t>
            </w:r>
          </w:p>
        </w:tc>
      </w:tr>
      <w:tr w:rsidR="002C10FB" w:rsidRPr="002C10FB" w14:paraId="14961EE9"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733E56D4" w14:textId="77777777" w:rsidR="003D38BE" w:rsidRPr="002C10FB" w:rsidRDefault="003D38BE" w:rsidP="003D38BE">
            <w:pPr>
              <w:ind w:firstLine="474"/>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pieaugums salīdzināmās cenās, %</w:t>
            </w:r>
          </w:p>
        </w:tc>
        <w:tc>
          <w:tcPr>
            <w:tcW w:w="964" w:type="dxa"/>
            <w:noWrap/>
            <w:vAlign w:val="center"/>
            <w:hideMark/>
          </w:tcPr>
          <w:p w14:paraId="3995FA27"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2,4</w:t>
            </w:r>
          </w:p>
        </w:tc>
        <w:tc>
          <w:tcPr>
            <w:tcW w:w="964" w:type="dxa"/>
            <w:noWrap/>
            <w:vAlign w:val="center"/>
            <w:hideMark/>
          </w:tcPr>
          <w:p w14:paraId="49AA7CD0"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0,0</w:t>
            </w:r>
          </w:p>
        </w:tc>
        <w:tc>
          <w:tcPr>
            <w:tcW w:w="964" w:type="dxa"/>
            <w:noWrap/>
            <w:vAlign w:val="center"/>
            <w:hideMark/>
          </w:tcPr>
          <w:p w14:paraId="2C831ED1"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1,1</w:t>
            </w:r>
          </w:p>
        </w:tc>
        <w:tc>
          <w:tcPr>
            <w:tcW w:w="964" w:type="dxa"/>
            <w:noWrap/>
            <w:vAlign w:val="center"/>
            <w:hideMark/>
          </w:tcPr>
          <w:p w14:paraId="3D41F6F1"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2,8</w:t>
            </w:r>
          </w:p>
        </w:tc>
        <w:tc>
          <w:tcPr>
            <w:tcW w:w="964" w:type="dxa"/>
            <w:noWrap/>
            <w:vAlign w:val="center"/>
            <w:hideMark/>
          </w:tcPr>
          <w:p w14:paraId="26AB4C2D"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3,5</w:t>
            </w:r>
          </w:p>
        </w:tc>
      </w:tr>
      <w:tr w:rsidR="002C10FB" w:rsidRPr="002C10FB" w14:paraId="66F96F2E" w14:textId="77777777" w:rsidTr="002C10FB">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5E2C8BD6" w14:textId="77777777"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PCI, (gada vidējā), %</w:t>
            </w:r>
          </w:p>
        </w:tc>
        <w:tc>
          <w:tcPr>
            <w:tcW w:w="964" w:type="dxa"/>
            <w:noWrap/>
            <w:vAlign w:val="center"/>
            <w:hideMark/>
          </w:tcPr>
          <w:p w14:paraId="6DFD7D9C"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0,6</w:t>
            </w:r>
          </w:p>
        </w:tc>
        <w:tc>
          <w:tcPr>
            <w:tcW w:w="964" w:type="dxa"/>
            <w:noWrap/>
            <w:vAlign w:val="center"/>
            <w:hideMark/>
          </w:tcPr>
          <w:p w14:paraId="30C8C6F4"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-0,4</w:t>
            </w:r>
          </w:p>
        </w:tc>
        <w:tc>
          <w:tcPr>
            <w:tcW w:w="964" w:type="dxa"/>
            <w:noWrap/>
            <w:vAlign w:val="center"/>
            <w:hideMark/>
          </w:tcPr>
          <w:p w14:paraId="21854D18"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1,2</w:t>
            </w:r>
          </w:p>
        </w:tc>
        <w:tc>
          <w:tcPr>
            <w:tcW w:w="964" w:type="dxa"/>
            <w:noWrap/>
            <w:vAlign w:val="center"/>
            <w:hideMark/>
          </w:tcPr>
          <w:p w14:paraId="11EB4C04"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1,9</w:t>
            </w:r>
          </w:p>
        </w:tc>
        <w:tc>
          <w:tcPr>
            <w:tcW w:w="964" w:type="dxa"/>
            <w:noWrap/>
            <w:vAlign w:val="center"/>
            <w:hideMark/>
          </w:tcPr>
          <w:p w14:paraId="0ACFF512"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2,5</w:t>
            </w:r>
          </w:p>
        </w:tc>
      </w:tr>
      <w:tr w:rsidR="002C10FB" w:rsidRPr="002C10FB" w14:paraId="5EDC7D5A"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0A2B2808" w14:textId="51652D9C"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 xml:space="preserve">Vidējā darba samaksa tautsaimniecība, </w:t>
            </w:r>
            <w:r w:rsidR="00BD3877" w:rsidRPr="002C10FB">
              <w:rPr>
                <w:rFonts w:ascii="Times New Roman" w:eastAsia="Times New Roman" w:hAnsi="Times New Roman" w:cs="Times New Roman"/>
                <w:b w:val="0"/>
                <w:i/>
                <w:color w:val="auto"/>
                <w:sz w:val="20"/>
                <w:szCs w:val="20"/>
              </w:rPr>
              <w:t>eu</w:t>
            </w:r>
            <w:r w:rsidRPr="002C10FB">
              <w:rPr>
                <w:rFonts w:ascii="Times New Roman" w:eastAsia="Times New Roman" w:hAnsi="Times New Roman" w:cs="Times New Roman"/>
                <w:b w:val="0"/>
                <w:i/>
                <w:color w:val="auto"/>
                <w:sz w:val="20"/>
                <w:szCs w:val="20"/>
              </w:rPr>
              <w:t>ro</w:t>
            </w:r>
          </w:p>
        </w:tc>
        <w:tc>
          <w:tcPr>
            <w:tcW w:w="964" w:type="dxa"/>
            <w:noWrap/>
            <w:vAlign w:val="center"/>
            <w:hideMark/>
          </w:tcPr>
          <w:p w14:paraId="34AB7919"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765,2</w:t>
            </w:r>
          </w:p>
        </w:tc>
        <w:tc>
          <w:tcPr>
            <w:tcW w:w="964" w:type="dxa"/>
            <w:noWrap/>
            <w:vAlign w:val="center"/>
            <w:hideMark/>
          </w:tcPr>
          <w:p w14:paraId="315184C8"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790,4</w:t>
            </w:r>
          </w:p>
        </w:tc>
        <w:tc>
          <w:tcPr>
            <w:tcW w:w="964" w:type="dxa"/>
            <w:noWrap/>
            <w:vAlign w:val="center"/>
            <w:hideMark/>
          </w:tcPr>
          <w:p w14:paraId="1F5FB830"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810,2</w:t>
            </w:r>
          </w:p>
        </w:tc>
        <w:tc>
          <w:tcPr>
            <w:tcW w:w="964" w:type="dxa"/>
            <w:noWrap/>
            <w:vAlign w:val="center"/>
            <w:hideMark/>
          </w:tcPr>
          <w:p w14:paraId="3629C083"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846,6</w:t>
            </w:r>
          </w:p>
        </w:tc>
        <w:tc>
          <w:tcPr>
            <w:tcW w:w="964" w:type="dxa"/>
            <w:noWrap/>
            <w:vAlign w:val="center"/>
            <w:hideMark/>
          </w:tcPr>
          <w:p w14:paraId="7ACB2878"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893,2</w:t>
            </w:r>
          </w:p>
        </w:tc>
      </w:tr>
      <w:tr w:rsidR="002C10FB" w:rsidRPr="002C10FB" w14:paraId="61106DB0" w14:textId="77777777" w:rsidTr="002C10FB">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4BC1C5FA" w14:textId="77777777" w:rsidR="003D38BE" w:rsidRPr="002C10FB" w:rsidRDefault="003D38BE" w:rsidP="003D38BE">
            <w:pPr>
              <w:ind w:firstLine="474"/>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pieaugums faktiskajās cenās, %</w:t>
            </w:r>
          </w:p>
        </w:tc>
        <w:tc>
          <w:tcPr>
            <w:tcW w:w="964" w:type="dxa"/>
            <w:noWrap/>
            <w:vAlign w:val="center"/>
            <w:hideMark/>
          </w:tcPr>
          <w:p w14:paraId="63D4F151"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6,8</w:t>
            </w:r>
          </w:p>
        </w:tc>
        <w:tc>
          <w:tcPr>
            <w:tcW w:w="964" w:type="dxa"/>
            <w:noWrap/>
            <w:vAlign w:val="center"/>
            <w:hideMark/>
          </w:tcPr>
          <w:p w14:paraId="7B3AA709"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3,3</w:t>
            </w:r>
          </w:p>
        </w:tc>
        <w:tc>
          <w:tcPr>
            <w:tcW w:w="964" w:type="dxa"/>
            <w:noWrap/>
            <w:vAlign w:val="center"/>
            <w:hideMark/>
          </w:tcPr>
          <w:p w14:paraId="1426F2B8"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2,5</w:t>
            </w:r>
          </w:p>
        </w:tc>
        <w:tc>
          <w:tcPr>
            <w:tcW w:w="964" w:type="dxa"/>
            <w:noWrap/>
            <w:vAlign w:val="center"/>
            <w:hideMark/>
          </w:tcPr>
          <w:p w14:paraId="353A266E"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4,5</w:t>
            </w:r>
          </w:p>
        </w:tc>
        <w:tc>
          <w:tcPr>
            <w:tcW w:w="964" w:type="dxa"/>
            <w:noWrap/>
            <w:vAlign w:val="center"/>
            <w:hideMark/>
          </w:tcPr>
          <w:p w14:paraId="12E11C89"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5,5</w:t>
            </w:r>
          </w:p>
        </w:tc>
      </w:tr>
      <w:tr w:rsidR="002C10FB" w:rsidRPr="002C10FB" w14:paraId="5481CE5E"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4E4CE270" w14:textId="77777777"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 xml:space="preserve">Nodarbinātība, tūkst. cilvēku </w:t>
            </w:r>
          </w:p>
        </w:tc>
        <w:tc>
          <w:tcPr>
            <w:tcW w:w="964" w:type="dxa"/>
            <w:noWrap/>
            <w:vAlign w:val="center"/>
            <w:hideMark/>
          </w:tcPr>
          <w:p w14:paraId="7697B2EF"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884,6</w:t>
            </w:r>
          </w:p>
        </w:tc>
        <w:tc>
          <w:tcPr>
            <w:tcW w:w="964" w:type="dxa"/>
            <w:noWrap/>
            <w:vAlign w:val="center"/>
            <w:hideMark/>
          </w:tcPr>
          <w:p w14:paraId="34B86945"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871,3</w:t>
            </w:r>
          </w:p>
        </w:tc>
        <w:tc>
          <w:tcPr>
            <w:tcW w:w="964" w:type="dxa"/>
            <w:noWrap/>
            <w:vAlign w:val="center"/>
            <w:hideMark/>
          </w:tcPr>
          <w:p w14:paraId="21AB4C04"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867,0</w:t>
            </w:r>
          </w:p>
        </w:tc>
        <w:tc>
          <w:tcPr>
            <w:tcW w:w="964" w:type="dxa"/>
            <w:noWrap/>
            <w:vAlign w:val="center"/>
            <w:hideMark/>
          </w:tcPr>
          <w:p w14:paraId="43900806"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869,6</w:t>
            </w:r>
          </w:p>
        </w:tc>
        <w:tc>
          <w:tcPr>
            <w:tcW w:w="964" w:type="dxa"/>
            <w:noWrap/>
            <w:vAlign w:val="center"/>
            <w:hideMark/>
          </w:tcPr>
          <w:p w14:paraId="0790AE77"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873,1</w:t>
            </w:r>
          </w:p>
        </w:tc>
      </w:tr>
      <w:tr w:rsidR="002C10FB" w:rsidRPr="002C10FB" w14:paraId="71BADA2E" w14:textId="77777777" w:rsidTr="002C10FB">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2D6BC66" w14:textId="77777777" w:rsidR="003D38BE" w:rsidRPr="002C10FB" w:rsidRDefault="003D38BE" w:rsidP="003D38BE">
            <w:pPr>
              <w:ind w:firstLine="474"/>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pieaugums, %</w:t>
            </w:r>
          </w:p>
        </w:tc>
        <w:tc>
          <w:tcPr>
            <w:tcW w:w="964" w:type="dxa"/>
            <w:noWrap/>
            <w:vAlign w:val="center"/>
            <w:hideMark/>
          </w:tcPr>
          <w:p w14:paraId="53065D23"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-1,0</w:t>
            </w:r>
          </w:p>
        </w:tc>
        <w:tc>
          <w:tcPr>
            <w:tcW w:w="964" w:type="dxa"/>
            <w:noWrap/>
            <w:vAlign w:val="center"/>
            <w:hideMark/>
          </w:tcPr>
          <w:p w14:paraId="362FD784"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-1,5</w:t>
            </w:r>
          </w:p>
        </w:tc>
        <w:tc>
          <w:tcPr>
            <w:tcW w:w="964" w:type="dxa"/>
            <w:noWrap/>
            <w:vAlign w:val="center"/>
            <w:hideMark/>
          </w:tcPr>
          <w:p w14:paraId="646BA796"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-0,5</w:t>
            </w:r>
          </w:p>
        </w:tc>
        <w:tc>
          <w:tcPr>
            <w:tcW w:w="964" w:type="dxa"/>
            <w:noWrap/>
            <w:vAlign w:val="center"/>
            <w:hideMark/>
          </w:tcPr>
          <w:p w14:paraId="11090E05"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0,3</w:t>
            </w:r>
          </w:p>
        </w:tc>
        <w:tc>
          <w:tcPr>
            <w:tcW w:w="964" w:type="dxa"/>
            <w:noWrap/>
            <w:vAlign w:val="center"/>
            <w:hideMark/>
          </w:tcPr>
          <w:p w14:paraId="236B9834"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0,4</w:t>
            </w:r>
          </w:p>
        </w:tc>
      </w:tr>
      <w:tr w:rsidR="002C10FB" w:rsidRPr="002C10FB" w14:paraId="30CD065D"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28510801" w14:textId="77777777"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Bezdarba līmenis (gada vidējais), % no ekon. aktīviem iedzīvotājiem</w:t>
            </w:r>
          </w:p>
        </w:tc>
        <w:tc>
          <w:tcPr>
            <w:tcW w:w="964" w:type="dxa"/>
            <w:noWrap/>
            <w:vAlign w:val="center"/>
            <w:hideMark/>
          </w:tcPr>
          <w:p w14:paraId="47ACDA6A"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10,8</w:t>
            </w:r>
          </w:p>
        </w:tc>
        <w:tc>
          <w:tcPr>
            <w:tcW w:w="964" w:type="dxa"/>
            <w:noWrap/>
            <w:vAlign w:val="center"/>
            <w:hideMark/>
          </w:tcPr>
          <w:p w14:paraId="4D43FC5C"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11,6</w:t>
            </w:r>
          </w:p>
        </w:tc>
        <w:tc>
          <w:tcPr>
            <w:tcW w:w="964" w:type="dxa"/>
            <w:noWrap/>
            <w:vAlign w:val="center"/>
            <w:hideMark/>
          </w:tcPr>
          <w:p w14:paraId="443525D2"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11,2</w:t>
            </w:r>
          </w:p>
        </w:tc>
        <w:tc>
          <w:tcPr>
            <w:tcW w:w="964" w:type="dxa"/>
            <w:noWrap/>
            <w:vAlign w:val="center"/>
            <w:hideMark/>
          </w:tcPr>
          <w:p w14:paraId="45F8BF4F"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10,5</w:t>
            </w:r>
          </w:p>
        </w:tc>
        <w:tc>
          <w:tcPr>
            <w:tcW w:w="964" w:type="dxa"/>
            <w:noWrap/>
            <w:vAlign w:val="center"/>
            <w:hideMark/>
          </w:tcPr>
          <w:p w14:paraId="72D00141"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10,3</w:t>
            </w:r>
          </w:p>
        </w:tc>
      </w:tr>
      <w:tr w:rsidR="002C10FB" w:rsidRPr="002C10FB" w14:paraId="71FBF7D9" w14:textId="77777777" w:rsidTr="002C10FB">
        <w:trPr>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4479D90E" w14:textId="77777777"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Eksporta pieauguma tempi faktiskajās cenās, %</w:t>
            </w:r>
          </w:p>
        </w:tc>
        <w:tc>
          <w:tcPr>
            <w:tcW w:w="964" w:type="dxa"/>
            <w:noWrap/>
            <w:vAlign w:val="center"/>
            <w:hideMark/>
          </w:tcPr>
          <w:p w14:paraId="1188BB91"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0,9</w:t>
            </w:r>
          </w:p>
        </w:tc>
        <w:tc>
          <w:tcPr>
            <w:tcW w:w="964" w:type="dxa"/>
            <w:noWrap/>
            <w:vAlign w:val="center"/>
            <w:hideMark/>
          </w:tcPr>
          <w:p w14:paraId="4590561C"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-2,2</w:t>
            </w:r>
          </w:p>
        </w:tc>
        <w:tc>
          <w:tcPr>
            <w:tcW w:w="964" w:type="dxa"/>
            <w:noWrap/>
            <w:vAlign w:val="center"/>
            <w:hideMark/>
          </w:tcPr>
          <w:p w14:paraId="4D443EFF"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1,5</w:t>
            </w:r>
          </w:p>
        </w:tc>
        <w:tc>
          <w:tcPr>
            <w:tcW w:w="964" w:type="dxa"/>
            <w:noWrap/>
            <w:vAlign w:val="center"/>
            <w:hideMark/>
          </w:tcPr>
          <w:p w14:paraId="4E3199C6"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7,1</w:t>
            </w:r>
          </w:p>
        </w:tc>
        <w:tc>
          <w:tcPr>
            <w:tcW w:w="964" w:type="dxa"/>
            <w:noWrap/>
            <w:vAlign w:val="center"/>
            <w:hideMark/>
          </w:tcPr>
          <w:p w14:paraId="5FE5124D" w14:textId="77777777" w:rsidR="003D38BE" w:rsidRPr="002C10FB" w:rsidRDefault="003D38BE" w:rsidP="002C10F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7,1</w:t>
            </w:r>
          </w:p>
        </w:tc>
      </w:tr>
      <w:tr w:rsidR="002C10FB" w:rsidRPr="002C10FB" w14:paraId="74326329" w14:textId="77777777" w:rsidTr="002C10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4" w:type="dxa"/>
            <w:noWrap/>
            <w:hideMark/>
          </w:tcPr>
          <w:p w14:paraId="6A6044E7" w14:textId="77777777" w:rsidR="003D38BE" w:rsidRPr="002C10FB" w:rsidRDefault="003D38BE" w:rsidP="003D38BE">
            <w:pPr>
              <w:rPr>
                <w:rFonts w:ascii="Times New Roman" w:eastAsia="Times New Roman" w:hAnsi="Times New Roman" w:cs="Times New Roman"/>
                <w:b w:val="0"/>
                <w:color w:val="auto"/>
                <w:sz w:val="20"/>
                <w:szCs w:val="20"/>
              </w:rPr>
            </w:pPr>
            <w:r w:rsidRPr="002C10FB">
              <w:rPr>
                <w:rFonts w:ascii="Times New Roman" w:eastAsia="Times New Roman" w:hAnsi="Times New Roman" w:cs="Times New Roman"/>
                <w:b w:val="0"/>
                <w:color w:val="auto"/>
                <w:sz w:val="20"/>
                <w:szCs w:val="20"/>
              </w:rPr>
              <w:t>Importa pieauguma tempi faktiskajās cenās, %</w:t>
            </w:r>
          </w:p>
        </w:tc>
        <w:tc>
          <w:tcPr>
            <w:tcW w:w="964" w:type="dxa"/>
            <w:noWrap/>
            <w:vAlign w:val="center"/>
            <w:hideMark/>
          </w:tcPr>
          <w:p w14:paraId="0A40428A"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1,1</w:t>
            </w:r>
          </w:p>
        </w:tc>
        <w:tc>
          <w:tcPr>
            <w:tcW w:w="964" w:type="dxa"/>
            <w:noWrap/>
            <w:vAlign w:val="center"/>
            <w:hideMark/>
          </w:tcPr>
          <w:p w14:paraId="5E455BD5"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-3,6</w:t>
            </w:r>
          </w:p>
        </w:tc>
        <w:tc>
          <w:tcPr>
            <w:tcW w:w="964" w:type="dxa"/>
            <w:noWrap/>
            <w:vAlign w:val="center"/>
            <w:hideMark/>
          </w:tcPr>
          <w:p w14:paraId="25E0E0F5"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1,9</w:t>
            </w:r>
          </w:p>
        </w:tc>
        <w:tc>
          <w:tcPr>
            <w:tcW w:w="964" w:type="dxa"/>
            <w:noWrap/>
            <w:vAlign w:val="center"/>
            <w:hideMark/>
          </w:tcPr>
          <w:p w14:paraId="3F22E408"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7,1</w:t>
            </w:r>
          </w:p>
        </w:tc>
        <w:tc>
          <w:tcPr>
            <w:tcW w:w="964" w:type="dxa"/>
            <w:noWrap/>
            <w:vAlign w:val="center"/>
            <w:hideMark/>
          </w:tcPr>
          <w:p w14:paraId="3892D642" w14:textId="77777777" w:rsidR="003D38BE" w:rsidRPr="002C10FB" w:rsidRDefault="003D38BE" w:rsidP="002C10F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2C10FB">
              <w:rPr>
                <w:rFonts w:ascii="Times New Roman" w:eastAsia="Times New Roman" w:hAnsi="Times New Roman" w:cs="Times New Roman"/>
                <w:color w:val="auto"/>
                <w:sz w:val="20"/>
                <w:szCs w:val="20"/>
              </w:rPr>
              <w:t>7,4</w:t>
            </w:r>
          </w:p>
        </w:tc>
      </w:tr>
    </w:tbl>
    <w:p w14:paraId="4C131D25" w14:textId="77777777" w:rsidR="003D38BE" w:rsidRPr="003D38BE" w:rsidRDefault="003D38BE" w:rsidP="003D38BE">
      <w:pPr>
        <w:spacing w:after="120" w:line="240" w:lineRule="auto"/>
        <w:ind w:firstLine="567"/>
        <w:jc w:val="both"/>
        <w:rPr>
          <w:rFonts w:ascii="Times New Roman" w:eastAsia="Times New Roman" w:hAnsi="Times New Roman" w:cs="Times New Roman"/>
          <w:sz w:val="24"/>
          <w:szCs w:val="20"/>
        </w:rPr>
      </w:pPr>
    </w:p>
    <w:p w14:paraId="1451FB05" w14:textId="4B8C7D63" w:rsidR="003D38BE" w:rsidRPr="003D38BE" w:rsidRDefault="003D38BE" w:rsidP="003D38BE">
      <w:pPr>
        <w:spacing w:after="120" w:line="240" w:lineRule="auto"/>
        <w:ind w:firstLine="720"/>
        <w:jc w:val="both"/>
        <w:rPr>
          <w:rFonts w:ascii="Times New Roman" w:eastAsia="Times New Roman" w:hAnsi="Times New Roman" w:cs="Times New Roman"/>
          <w:sz w:val="24"/>
          <w:szCs w:val="20"/>
        </w:rPr>
      </w:pPr>
      <w:r w:rsidRPr="003D38BE">
        <w:rPr>
          <w:rFonts w:ascii="Times New Roman" w:eastAsia="Times New Roman" w:hAnsi="Times New Roman" w:cs="Times New Roman"/>
          <w:sz w:val="24"/>
          <w:szCs w:val="20"/>
        </w:rPr>
        <w:t>Negatīvā scenārija gadījumā Latvij</w:t>
      </w:r>
      <w:r w:rsidR="00BD3877">
        <w:rPr>
          <w:rFonts w:ascii="Times New Roman" w:eastAsia="Times New Roman" w:hAnsi="Times New Roman" w:cs="Times New Roman"/>
          <w:sz w:val="24"/>
          <w:szCs w:val="20"/>
        </w:rPr>
        <w:t>as IKP salīdzināmās cenās 2015.gadā saglabātos 2014.</w:t>
      </w:r>
      <w:r w:rsidRPr="003D38BE">
        <w:rPr>
          <w:rFonts w:ascii="Times New Roman" w:eastAsia="Times New Roman" w:hAnsi="Times New Roman" w:cs="Times New Roman"/>
          <w:sz w:val="24"/>
          <w:szCs w:val="20"/>
        </w:rPr>
        <w:t>gada līmenī, savukārt 2016. un 2017.gadā izaugsme būtu tikai 1,1% un 2,8%. Tādējādi ekonomika atgrieztos pie iepriekš prognozētajie</w:t>
      </w:r>
      <w:r w:rsidR="00BD3877">
        <w:rPr>
          <w:rFonts w:ascii="Times New Roman" w:eastAsia="Times New Roman" w:hAnsi="Times New Roman" w:cs="Times New Roman"/>
          <w:sz w:val="24"/>
          <w:szCs w:val="20"/>
        </w:rPr>
        <w:t>m izaugsmes tempiem tikai 2018.</w:t>
      </w:r>
      <w:r w:rsidRPr="003D38BE">
        <w:rPr>
          <w:rFonts w:ascii="Times New Roman" w:eastAsia="Times New Roman" w:hAnsi="Times New Roman" w:cs="Times New Roman"/>
          <w:sz w:val="24"/>
          <w:szCs w:val="20"/>
        </w:rPr>
        <w:t>gadā.</w:t>
      </w:r>
    </w:p>
    <w:p w14:paraId="2817BBD8" w14:textId="4A78B7A9" w:rsidR="003D38BE" w:rsidRPr="003D38BE" w:rsidRDefault="003D38BE" w:rsidP="003D38BE">
      <w:pPr>
        <w:spacing w:after="120" w:line="240" w:lineRule="auto"/>
        <w:ind w:firstLine="720"/>
        <w:jc w:val="both"/>
        <w:rPr>
          <w:rFonts w:ascii="Times New Roman" w:eastAsia="Times New Roman" w:hAnsi="Times New Roman" w:cs="Times New Roman"/>
          <w:sz w:val="24"/>
          <w:szCs w:val="20"/>
        </w:rPr>
      </w:pPr>
      <w:r w:rsidRPr="003D38BE">
        <w:rPr>
          <w:rFonts w:ascii="Times New Roman" w:eastAsia="Times New Roman" w:hAnsi="Times New Roman" w:cs="Times New Roman"/>
          <w:sz w:val="24"/>
          <w:szCs w:val="20"/>
        </w:rPr>
        <w:t xml:space="preserve">Īstenojoties negatīvajam scenārijam, ievērojami samazinātos nodokļu ieņēmumi. Salīdzinājumā ar bāzes scenāriju negatīvā scenārija </w:t>
      </w:r>
      <w:r w:rsidR="00BD3877">
        <w:rPr>
          <w:rFonts w:ascii="Times New Roman" w:eastAsia="Times New Roman" w:hAnsi="Times New Roman" w:cs="Times New Roman"/>
          <w:sz w:val="24"/>
          <w:szCs w:val="20"/>
        </w:rPr>
        <w:t>gadījumā nodokļu ieņēmumi 2015.</w:t>
      </w:r>
      <w:r w:rsidRPr="003D38BE">
        <w:rPr>
          <w:rFonts w:ascii="Times New Roman" w:eastAsia="Times New Roman" w:hAnsi="Times New Roman" w:cs="Times New Roman"/>
          <w:sz w:val="24"/>
          <w:szCs w:val="20"/>
        </w:rPr>
        <w:t xml:space="preserve">gadā būtu par 154,2 milj. </w:t>
      </w:r>
      <w:r w:rsidR="00BD3877" w:rsidRPr="0009609E">
        <w:rPr>
          <w:rFonts w:ascii="Times New Roman" w:eastAsia="Times New Roman" w:hAnsi="Times New Roman" w:cs="Times New Roman"/>
          <w:i/>
          <w:sz w:val="24"/>
          <w:szCs w:val="24"/>
        </w:rPr>
        <w:t>euro</w:t>
      </w:r>
      <w:r w:rsidR="00BD3877" w:rsidRPr="003D38BE">
        <w:rPr>
          <w:rFonts w:ascii="Times New Roman" w:eastAsia="Times New Roman" w:hAnsi="Times New Roman" w:cs="Times New Roman"/>
          <w:sz w:val="24"/>
          <w:szCs w:val="20"/>
        </w:rPr>
        <w:t xml:space="preserve"> </w:t>
      </w:r>
      <w:r w:rsidRPr="003D38BE">
        <w:rPr>
          <w:rFonts w:ascii="Times New Roman" w:eastAsia="Times New Roman" w:hAnsi="Times New Roman" w:cs="Times New Roman"/>
          <w:sz w:val="24"/>
          <w:szCs w:val="20"/>
        </w:rPr>
        <w:t>jeb 0,6% no IKP zemāki nekā bāzes scenārijā.</w:t>
      </w:r>
      <w:r w:rsidR="00BD3877">
        <w:rPr>
          <w:rFonts w:ascii="Times New Roman" w:eastAsia="Times New Roman" w:hAnsi="Times New Roman" w:cs="Times New Roman"/>
          <w:sz w:val="24"/>
          <w:szCs w:val="20"/>
        </w:rPr>
        <w:t xml:space="preserve"> Savukārt 2016., 2017. un 2018.</w:t>
      </w:r>
      <w:r w:rsidRPr="003D38BE">
        <w:rPr>
          <w:rFonts w:ascii="Times New Roman" w:eastAsia="Times New Roman" w:hAnsi="Times New Roman" w:cs="Times New Roman"/>
          <w:sz w:val="24"/>
          <w:szCs w:val="20"/>
        </w:rPr>
        <w:t xml:space="preserve">gadā nodokļu ieņēmumi būtu par attiecīgi 1,3% (332 milj. </w:t>
      </w:r>
      <w:r w:rsidR="00BD3877" w:rsidRPr="0009609E">
        <w:rPr>
          <w:rFonts w:ascii="Times New Roman" w:eastAsia="Times New Roman" w:hAnsi="Times New Roman" w:cs="Times New Roman"/>
          <w:i/>
          <w:sz w:val="24"/>
          <w:szCs w:val="24"/>
        </w:rPr>
        <w:t>euro</w:t>
      </w:r>
      <w:r w:rsidRPr="003D38BE">
        <w:rPr>
          <w:rFonts w:ascii="Times New Roman" w:eastAsia="Times New Roman" w:hAnsi="Times New Roman" w:cs="Times New Roman"/>
          <w:sz w:val="24"/>
          <w:szCs w:val="20"/>
        </w:rPr>
        <w:t xml:space="preserve">), 1,5% (427,6 milj. </w:t>
      </w:r>
      <w:r w:rsidR="00BD3877" w:rsidRPr="0009609E">
        <w:rPr>
          <w:rFonts w:ascii="Times New Roman" w:eastAsia="Times New Roman" w:hAnsi="Times New Roman" w:cs="Times New Roman"/>
          <w:i/>
          <w:sz w:val="24"/>
          <w:szCs w:val="24"/>
        </w:rPr>
        <w:t>euro</w:t>
      </w:r>
      <w:r w:rsidRPr="003D38BE">
        <w:rPr>
          <w:rFonts w:ascii="Times New Roman" w:eastAsia="Times New Roman" w:hAnsi="Times New Roman" w:cs="Times New Roman"/>
          <w:sz w:val="24"/>
          <w:szCs w:val="20"/>
        </w:rPr>
        <w:t xml:space="preserve">) un 1,5% (455,2 milj. </w:t>
      </w:r>
      <w:r w:rsidR="00BD3877" w:rsidRPr="0009609E">
        <w:rPr>
          <w:rFonts w:ascii="Times New Roman" w:eastAsia="Times New Roman" w:hAnsi="Times New Roman" w:cs="Times New Roman"/>
          <w:i/>
          <w:sz w:val="24"/>
          <w:szCs w:val="24"/>
        </w:rPr>
        <w:t>euro</w:t>
      </w:r>
      <w:r w:rsidRPr="003D38BE">
        <w:rPr>
          <w:rFonts w:ascii="Times New Roman" w:eastAsia="Times New Roman" w:hAnsi="Times New Roman" w:cs="Times New Roman"/>
          <w:sz w:val="24"/>
          <w:szCs w:val="20"/>
        </w:rPr>
        <w:t>) no IKP zemāki nekā bāzes scenārijā.</w:t>
      </w:r>
    </w:p>
    <w:p w14:paraId="318E1CD2" w14:textId="77777777" w:rsidR="003D38BE" w:rsidRPr="003D38BE" w:rsidRDefault="003D38BE" w:rsidP="003D38BE"/>
    <w:p w14:paraId="33F4657A" w14:textId="77777777" w:rsidR="005536A9" w:rsidRPr="00F51615" w:rsidRDefault="005536A9">
      <w:pPr>
        <w:rPr>
          <w:rFonts w:ascii="Times New Roman" w:eastAsiaTheme="majorEastAsia" w:hAnsi="Times New Roman" w:cs="Times New Roman"/>
          <w:b/>
          <w:bCs/>
          <w:smallCaps/>
          <w:color w:val="000000" w:themeColor="text1"/>
          <w:sz w:val="32"/>
          <w:szCs w:val="36"/>
        </w:rPr>
      </w:pPr>
      <w:r w:rsidRPr="00F51615">
        <w:rPr>
          <w:rFonts w:ascii="Times New Roman" w:hAnsi="Times New Roman" w:cs="Times New Roman"/>
          <w:sz w:val="32"/>
        </w:rPr>
        <w:br w:type="page"/>
      </w:r>
    </w:p>
    <w:p w14:paraId="41E5D435" w14:textId="77777777" w:rsidR="005536A9" w:rsidRPr="00F51615" w:rsidRDefault="005536A9" w:rsidP="00F512CA">
      <w:pPr>
        <w:pStyle w:val="Heading1"/>
        <w:numPr>
          <w:ilvl w:val="0"/>
          <w:numId w:val="1"/>
        </w:numPr>
        <w:ind w:left="284" w:hanging="283"/>
        <w:jc w:val="center"/>
        <w:rPr>
          <w:rFonts w:ascii="Times New Roman" w:hAnsi="Times New Roman" w:cs="Times New Roman"/>
          <w:sz w:val="32"/>
        </w:rPr>
      </w:pPr>
      <w:bookmarkStart w:id="14" w:name="_Toc416279075"/>
      <w:r w:rsidRPr="00F51615">
        <w:rPr>
          <w:rFonts w:ascii="Times New Roman" w:hAnsi="Times New Roman" w:cs="Times New Roman"/>
          <w:sz w:val="32"/>
        </w:rPr>
        <w:t>Vispārējās valdības budžeta bilances un parāda prognožu salīdzinājums ar Latvijas Stabilitātes programmu 2014.-2017.gadam</w:t>
      </w:r>
      <w:bookmarkEnd w:id="14"/>
    </w:p>
    <w:p w14:paraId="290ADBC2" w14:textId="77777777" w:rsidR="003D38BE" w:rsidRDefault="003D38BE" w:rsidP="00A02E4F">
      <w:pPr>
        <w:pStyle w:val="Default"/>
        <w:spacing w:after="60"/>
        <w:ind w:firstLine="720"/>
        <w:jc w:val="both"/>
        <w:rPr>
          <w:szCs w:val="23"/>
        </w:rPr>
      </w:pPr>
    </w:p>
    <w:p w14:paraId="209D6789" w14:textId="67098263" w:rsidR="0009609E" w:rsidRDefault="0009609E" w:rsidP="0009609E">
      <w:pPr>
        <w:pStyle w:val="teksts"/>
        <w:ind w:firstLine="720"/>
        <w:rPr>
          <w:rFonts w:ascii="Times New Roman" w:eastAsia="Calibri" w:hAnsi="Times New Roman"/>
          <w:szCs w:val="24"/>
        </w:rPr>
      </w:pPr>
      <w:r w:rsidRPr="000A568A">
        <w:rPr>
          <w:rFonts w:ascii="Times New Roman" w:eastAsia="Calibri" w:hAnsi="Times New Roman"/>
          <w:szCs w:val="24"/>
        </w:rPr>
        <w:t>IKP pieaugums 201</w:t>
      </w:r>
      <w:r>
        <w:rPr>
          <w:rFonts w:ascii="Times New Roman" w:eastAsia="Calibri" w:hAnsi="Times New Roman"/>
          <w:szCs w:val="24"/>
        </w:rPr>
        <w:t>4</w:t>
      </w:r>
      <w:r w:rsidR="00BD3877">
        <w:rPr>
          <w:rFonts w:ascii="Times New Roman" w:eastAsia="Calibri" w:hAnsi="Times New Roman"/>
          <w:szCs w:val="24"/>
        </w:rPr>
        <w:t>.</w:t>
      </w:r>
      <w:r w:rsidRPr="000A568A">
        <w:rPr>
          <w:rFonts w:ascii="Times New Roman" w:eastAsia="Calibri" w:hAnsi="Times New Roman"/>
          <w:szCs w:val="24"/>
        </w:rPr>
        <w:t xml:space="preserve">gadā ir bijis </w:t>
      </w:r>
      <w:r>
        <w:rPr>
          <w:rFonts w:ascii="Times New Roman" w:eastAsia="Calibri" w:hAnsi="Times New Roman"/>
          <w:szCs w:val="24"/>
        </w:rPr>
        <w:t>lēnāks</w:t>
      </w:r>
      <w:r w:rsidRPr="000A568A">
        <w:rPr>
          <w:rFonts w:ascii="Times New Roman" w:eastAsia="Calibri" w:hAnsi="Times New Roman"/>
          <w:szCs w:val="24"/>
        </w:rPr>
        <w:t>, nekā to paredzēja 201</w:t>
      </w:r>
      <w:r>
        <w:rPr>
          <w:rFonts w:ascii="Times New Roman" w:eastAsia="Calibri" w:hAnsi="Times New Roman"/>
          <w:szCs w:val="24"/>
        </w:rPr>
        <w:t>4</w:t>
      </w:r>
      <w:r w:rsidR="00BD3877">
        <w:rPr>
          <w:rFonts w:ascii="Times New Roman" w:eastAsia="Calibri" w:hAnsi="Times New Roman"/>
          <w:szCs w:val="24"/>
        </w:rPr>
        <w:t>.</w:t>
      </w:r>
      <w:r w:rsidRPr="000A568A">
        <w:rPr>
          <w:rFonts w:ascii="Times New Roman" w:eastAsia="Calibri" w:hAnsi="Times New Roman"/>
          <w:szCs w:val="24"/>
        </w:rPr>
        <w:t xml:space="preserve">gada </w:t>
      </w:r>
      <w:r>
        <w:rPr>
          <w:rFonts w:ascii="Times New Roman" w:eastAsia="Calibri" w:hAnsi="Times New Roman"/>
          <w:szCs w:val="24"/>
        </w:rPr>
        <w:t xml:space="preserve">Stabilitātes programmas scenārijs. Lēnāka ekonomikas izaugsme saistīta galvenokārt ar ģeopolitiskās situācijas saasināšanos reģionā, Krievijas un </w:t>
      </w:r>
      <w:r w:rsidR="00BD3877">
        <w:rPr>
          <w:rFonts w:ascii="Times New Roman" w:eastAsia="Calibri" w:hAnsi="Times New Roman"/>
          <w:szCs w:val="24"/>
        </w:rPr>
        <w:t>ES</w:t>
      </w:r>
      <w:r>
        <w:rPr>
          <w:rFonts w:ascii="Times New Roman" w:eastAsia="Calibri" w:hAnsi="Times New Roman"/>
          <w:szCs w:val="24"/>
        </w:rPr>
        <w:t xml:space="preserve"> savstarpējām ekonomiskajām sankcijām un Krievijas kopējās ekonomiskās situācijas pasliktināšanos naftas cenu un rubļa kursa krituma rezultātā, kā arī lēno </w:t>
      </w:r>
      <w:r w:rsidR="00BD3877" w:rsidRPr="0009609E">
        <w:rPr>
          <w:rFonts w:ascii="Times New Roman" w:hAnsi="Times New Roman"/>
          <w:i/>
          <w:szCs w:val="24"/>
        </w:rPr>
        <w:t>euro</w:t>
      </w:r>
      <w:r w:rsidR="00BD3877">
        <w:rPr>
          <w:rFonts w:ascii="Times New Roman" w:eastAsia="Calibri" w:hAnsi="Times New Roman"/>
          <w:szCs w:val="24"/>
        </w:rPr>
        <w:t xml:space="preserve"> </w:t>
      </w:r>
      <w:r>
        <w:rPr>
          <w:rFonts w:ascii="Times New Roman" w:eastAsia="Calibri" w:hAnsi="Times New Roman"/>
          <w:szCs w:val="24"/>
        </w:rPr>
        <w:t xml:space="preserve">zonas ekonomiskās izaugsmes atjaunošanos. Tā rezultātā investīciju un eksporta pieaugums nav sasniedzis prognozēto, bremzējies arī privātais patēriņš, savukārt sabiedriskā patēriņa pieaugums bijis </w:t>
      </w:r>
      <w:r w:rsidR="00BD3877">
        <w:rPr>
          <w:rFonts w:ascii="Times New Roman" w:eastAsia="Calibri" w:hAnsi="Times New Roman"/>
          <w:szCs w:val="24"/>
        </w:rPr>
        <w:t>straujāks, nekā paredzēja 2014.</w:t>
      </w:r>
      <w:r>
        <w:rPr>
          <w:rFonts w:ascii="Times New Roman" w:eastAsia="Calibri" w:hAnsi="Times New Roman"/>
          <w:szCs w:val="24"/>
        </w:rPr>
        <w:t>gada Stabilitātes programmas scenārijs. Ārējo faktoru ietekmē arī 2015.gadā un turpmākajos divos gados IKP pieaugums tiek progno</w:t>
      </w:r>
      <w:r w:rsidR="00BD3877">
        <w:rPr>
          <w:rFonts w:ascii="Times New Roman" w:eastAsia="Calibri" w:hAnsi="Times New Roman"/>
          <w:szCs w:val="24"/>
        </w:rPr>
        <w:t>zēts zemāks nekā 2014.</w:t>
      </w:r>
      <w:r>
        <w:rPr>
          <w:rFonts w:ascii="Times New Roman" w:eastAsia="Calibri" w:hAnsi="Times New Roman"/>
          <w:szCs w:val="24"/>
        </w:rPr>
        <w:t>gada Stabilitātes programmas scenārijā.</w:t>
      </w:r>
    </w:p>
    <w:p w14:paraId="5199C63D" w14:textId="075A9735" w:rsidR="0009609E" w:rsidRPr="00DC70E8" w:rsidRDefault="00BD3877" w:rsidP="005812B4">
      <w:pPr>
        <w:pStyle w:val="T"/>
        <w:spacing w:before="240"/>
        <w:ind w:left="0"/>
        <w:jc w:val="right"/>
        <w:rPr>
          <w:rFonts w:ascii="Times New Roman" w:hAnsi="Times New Roman"/>
        </w:rPr>
      </w:pPr>
      <w:r>
        <w:rPr>
          <w:rFonts w:ascii="Times New Roman" w:hAnsi="Times New Roman"/>
        </w:rPr>
        <w:t>5.1</w:t>
      </w:r>
      <w:r w:rsidR="0009609E" w:rsidRPr="0056485D">
        <w:rPr>
          <w:rFonts w:ascii="Times New Roman" w:hAnsi="Times New Roman"/>
        </w:rPr>
        <w:t xml:space="preserve">.tabula. Salīdzinājums </w:t>
      </w:r>
      <w:r>
        <w:rPr>
          <w:rFonts w:ascii="Times New Roman" w:hAnsi="Times New Roman"/>
        </w:rPr>
        <w:t>ar 2014. – 2017.</w:t>
      </w:r>
      <w:r w:rsidR="0009609E" w:rsidRPr="00DC70E8">
        <w:rPr>
          <w:rFonts w:ascii="Times New Roman" w:hAnsi="Times New Roman"/>
        </w:rPr>
        <w:t>gada Stabilitātes programmas prognozēm</w:t>
      </w:r>
    </w:p>
    <w:tbl>
      <w:tblPr>
        <w:tblStyle w:val="GridTable6ColorfulAccent1"/>
        <w:tblW w:w="8065" w:type="dxa"/>
        <w:jc w:val="center"/>
        <w:tblLayout w:type="fixed"/>
        <w:tblLook w:val="04A0" w:firstRow="1" w:lastRow="0" w:firstColumn="1" w:lastColumn="0" w:noHBand="0" w:noVBand="1"/>
      </w:tblPr>
      <w:tblGrid>
        <w:gridCol w:w="3119"/>
        <w:gridCol w:w="694"/>
        <w:gridCol w:w="850"/>
        <w:gridCol w:w="851"/>
        <w:gridCol w:w="850"/>
        <w:gridCol w:w="851"/>
        <w:gridCol w:w="850"/>
      </w:tblGrid>
      <w:tr w:rsidR="002C10FB" w:rsidRPr="002C10FB" w14:paraId="68ADAFE2" w14:textId="77777777" w:rsidTr="002C10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1356F957" w14:textId="77777777" w:rsidR="0009609E" w:rsidRPr="002C10FB" w:rsidRDefault="0009609E" w:rsidP="0009609E">
            <w:pPr>
              <w:rPr>
                <w:rFonts w:ascii="Times New Roman" w:hAnsi="Times New Roman" w:cs="Times New Roman"/>
                <w:color w:val="auto"/>
                <w:sz w:val="20"/>
                <w:szCs w:val="20"/>
              </w:rPr>
            </w:pPr>
          </w:p>
        </w:tc>
        <w:tc>
          <w:tcPr>
            <w:tcW w:w="694" w:type="dxa"/>
          </w:tcPr>
          <w:p w14:paraId="0AA836A8" w14:textId="77777777" w:rsidR="0009609E" w:rsidRPr="002C10FB" w:rsidRDefault="0009609E" w:rsidP="005272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EKS kods</w:t>
            </w:r>
          </w:p>
        </w:tc>
        <w:tc>
          <w:tcPr>
            <w:tcW w:w="850" w:type="dxa"/>
            <w:vAlign w:val="center"/>
          </w:tcPr>
          <w:p w14:paraId="72457969" w14:textId="77777777" w:rsidR="0009609E" w:rsidRPr="002C10FB" w:rsidRDefault="0009609E" w:rsidP="002C10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2014</w:t>
            </w:r>
          </w:p>
        </w:tc>
        <w:tc>
          <w:tcPr>
            <w:tcW w:w="851" w:type="dxa"/>
            <w:vAlign w:val="center"/>
          </w:tcPr>
          <w:p w14:paraId="6E4F9BB1" w14:textId="77777777" w:rsidR="0009609E" w:rsidRPr="002C10FB" w:rsidRDefault="0009609E" w:rsidP="002C10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2015</w:t>
            </w:r>
          </w:p>
        </w:tc>
        <w:tc>
          <w:tcPr>
            <w:tcW w:w="850" w:type="dxa"/>
            <w:vAlign w:val="center"/>
          </w:tcPr>
          <w:p w14:paraId="7F14BA86" w14:textId="77777777" w:rsidR="0009609E" w:rsidRPr="002C10FB" w:rsidRDefault="0009609E" w:rsidP="002C10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2016</w:t>
            </w:r>
          </w:p>
        </w:tc>
        <w:tc>
          <w:tcPr>
            <w:tcW w:w="851" w:type="dxa"/>
            <w:vAlign w:val="center"/>
          </w:tcPr>
          <w:p w14:paraId="5944B62B" w14:textId="77777777" w:rsidR="0009609E" w:rsidRPr="002C10FB" w:rsidRDefault="0009609E" w:rsidP="002C10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2017</w:t>
            </w:r>
          </w:p>
        </w:tc>
        <w:tc>
          <w:tcPr>
            <w:tcW w:w="850" w:type="dxa"/>
            <w:vAlign w:val="center"/>
          </w:tcPr>
          <w:p w14:paraId="3C0D6377" w14:textId="77777777" w:rsidR="0009609E" w:rsidRPr="002C10FB" w:rsidRDefault="0009609E" w:rsidP="002C10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2018</w:t>
            </w:r>
          </w:p>
        </w:tc>
      </w:tr>
      <w:tr w:rsidR="002C10FB" w:rsidRPr="002C10FB" w14:paraId="2FC39DAB"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6A416144" w14:textId="77777777" w:rsidR="0009609E" w:rsidRPr="002C10FB" w:rsidRDefault="0009609E" w:rsidP="0009609E">
            <w:pPr>
              <w:rPr>
                <w:rFonts w:ascii="Times New Roman" w:hAnsi="Times New Roman" w:cs="Times New Roman"/>
                <w:snapToGrid w:val="0"/>
                <w:color w:val="auto"/>
                <w:sz w:val="20"/>
                <w:szCs w:val="20"/>
              </w:rPr>
            </w:pPr>
            <w:r w:rsidRPr="002C10FB">
              <w:rPr>
                <w:rFonts w:ascii="Times New Roman" w:hAnsi="Times New Roman" w:cs="Times New Roman"/>
                <w:b w:val="0"/>
                <w:color w:val="auto"/>
                <w:sz w:val="20"/>
                <w:szCs w:val="20"/>
              </w:rPr>
              <w:t>IKP pieaugums (%)</w:t>
            </w:r>
          </w:p>
        </w:tc>
        <w:tc>
          <w:tcPr>
            <w:tcW w:w="694" w:type="dxa"/>
          </w:tcPr>
          <w:p w14:paraId="693D6AAE" w14:textId="77777777" w:rsidR="0009609E" w:rsidRPr="002C10FB"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B1g</w:t>
            </w:r>
          </w:p>
        </w:tc>
        <w:tc>
          <w:tcPr>
            <w:tcW w:w="850" w:type="dxa"/>
          </w:tcPr>
          <w:p w14:paraId="74329483" w14:textId="77777777" w:rsidR="0009609E" w:rsidRPr="002C10FB"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1" w:type="dxa"/>
          </w:tcPr>
          <w:p w14:paraId="537856BB" w14:textId="77777777" w:rsidR="0009609E" w:rsidRPr="002C10FB"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4AA42890" w14:textId="77777777" w:rsidR="0009609E" w:rsidRPr="002C10FB"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p>
        </w:tc>
        <w:tc>
          <w:tcPr>
            <w:tcW w:w="851" w:type="dxa"/>
          </w:tcPr>
          <w:p w14:paraId="16B4F3FB" w14:textId="77777777" w:rsidR="0009609E" w:rsidRPr="002C10FB"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3700AB97" w14:textId="77777777" w:rsidR="0009609E" w:rsidRPr="002C10FB"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2C10FB" w:rsidRPr="002C10FB" w14:paraId="08ED205D"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7E846C7A" w14:textId="77777777" w:rsidR="0009609E" w:rsidRPr="002C10FB" w:rsidRDefault="0009609E" w:rsidP="0009609E">
            <w:pPr>
              <w:jc w:val="right"/>
              <w:rPr>
                <w:rFonts w:ascii="Times New Roman" w:hAnsi="Times New Roman" w:cs="Times New Roman"/>
                <w:b w:val="0"/>
                <w:color w:val="auto"/>
                <w:sz w:val="20"/>
                <w:szCs w:val="20"/>
              </w:rPr>
            </w:pPr>
            <w:r w:rsidRPr="002C10FB">
              <w:rPr>
                <w:rFonts w:ascii="Times New Roman" w:hAnsi="Times New Roman" w:cs="Times New Roman"/>
                <w:b w:val="0"/>
                <w:color w:val="auto"/>
                <w:sz w:val="20"/>
                <w:szCs w:val="20"/>
              </w:rPr>
              <w:t>2014. gads</w:t>
            </w:r>
          </w:p>
        </w:tc>
        <w:tc>
          <w:tcPr>
            <w:tcW w:w="694" w:type="dxa"/>
          </w:tcPr>
          <w:p w14:paraId="39428FD6" w14:textId="77777777" w:rsidR="0009609E" w:rsidRPr="002C10FB" w:rsidRDefault="0009609E" w:rsidP="000960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4994E6F9"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4,0</w:t>
            </w:r>
          </w:p>
        </w:tc>
        <w:tc>
          <w:tcPr>
            <w:tcW w:w="851" w:type="dxa"/>
          </w:tcPr>
          <w:p w14:paraId="706DBD50"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4,0</w:t>
            </w:r>
          </w:p>
        </w:tc>
        <w:tc>
          <w:tcPr>
            <w:tcW w:w="850" w:type="dxa"/>
          </w:tcPr>
          <w:p w14:paraId="3D04A49E"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4,0</w:t>
            </w:r>
          </w:p>
        </w:tc>
        <w:tc>
          <w:tcPr>
            <w:tcW w:w="851" w:type="dxa"/>
          </w:tcPr>
          <w:p w14:paraId="762C134B"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4,0</w:t>
            </w:r>
          </w:p>
        </w:tc>
        <w:tc>
          <w:tcPr>
            <w:tcW w:w="850" w:type="dxa"/>
          </w:tcPr>
          <w:p w14:paraId="13ED128B"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w:t>
            </w:r>
          </w:p>
        </w:tc>
      </w:tr>
      <w:tr w:rsidR="002C10FB" w:rsidRPr="002C10FB" w14:paraId="3E8D6313"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0BFF364D" w14:textId="77777777" w:rsidR="0009609E" w:rsidRPr="002C10FB" w:rsidRDefault="0009609E" w:rsidP="0009609E">
            <w:pPr>
              <w:jc w:val="right"/>
              <w:rPr>
                <w:rFonts w:ascii="Times New Roman" w:hAnsi="Times New Roman" w:cs="Times New Roman"/>
                <w:b w:val="0"/>
                <w:color w:val="auto"/>
                <w:sz w:val="20"/>
                <w:szCs w:val="20"/>
              </w:rPr>
            </w:pPr>
            <w:r w:rsidRPr="002C10FB">
              <w:rPr>
                <w:rFonts w:ascii="Times New Roman" w:hAnsi="Times New Roman" w:cs="Times New Roman"/>
                <w:b w:val="0"/>
                <w:color w:val="auto"/>
                <w:sz w:val="20"/>
                <w:szCs w:val="20"/>
              </w:rPr>
              <w:t>2015. gads</w:t>
            </w:r>
          </w:p>
        </w:tc>
        <w:tc>
          <w:tcPr>
            <w:tcW w:w="694" w:type="dxa"/>
          </w:tcPr>
          <w:p w14:paraId="58D2E962" w14:textId="77777777" w:rsidR="0009609E" w:rsidRPr="002C10FB" w:rsidRDefault="0009609E" w:rsidP="000960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2E504465"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2,4</w:t>
            </w:r>
          </w:p>
        </w:tc>
        <w:tc>
          <w:tcPr>
            <w:tcW w:w="851" w:type="dxa"/>
          </w:tcPr>
          <w:p w14:paraId="585CB0D4"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2,1</w:t>
            </w:r>
          </w:p>
        </w:tc>
        <w:tc>
          <w:tcPr>
            <w:tcW w:w="850" w:type="dxa"/>
          </w:tcPr>
          <w:p w14:paraId="76F8A28F"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3,0</w:t>
            </w:r>
          </w:p>
        </w:tc>
        <w:tc>
          <w:tcPr>
            <w:tcW w:w="851" w:type="dxa"/>
          </w:tcPr>
          <w:p w14:paraId="3B813738"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3,6</w:t>
            </w:r>
          </w:p>
        </w:tc>
        <w:tc>
          <w:tcPr>
            <w:tcW w:w="850" w:type="dxa"/>
          </w:tcPr>
          <w:p w14:paraId="67302F24"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3,6</w:t>
            </w:r>
          </w:p>
        </w:tc>
      </w:tr>
      <w:tr w:rsidR="002C10FB" w:rsidRPr="002C10FB" w14:paraId="3CD620EC"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511EB86D" w14:textId="77777777" w:rsidR="0009609E" w:rsidRPr="002C10FB" w:rsidRDefault="0009609E" w:rsidP="0009609E">
            <w:pPr>
              <w:jc w:val="right"/>
              <w:rPr>
                <w:rFonts w:ascii="Times New Roman" w:hAnsi="Times New Roman" w:cs="Times New Roman"/>
                <w:b w:val="0"/>
                <w:snapToGrid w:val="0"/>
                <w:color w:val="auto"/>
                <w:sz w:val="20"/>
                <w:szCs w:val="20"/>
              </w:rPr>
            </w:pPr>
            <w:r w:rsidRPr="002C10FB">
              <w:rPr>
                <w:rFonts w:ascii="Times New Roman" w:hAnsi="Times New Roman" w:cs="Times New Roman"/>
                <w:b w:val="0"/>
                <w:snapToGrid w:val="0"/>
                <w:color w:val="auto"/>
                <w:sz w:val="20"/>
                <w:szCs w:val="20"/>
              </w:rPr>
              <w:t>Izmaiņas</w:t>
            </w:r>
          </w:p>
        </w:tc>
        <w:tc>
          <w:tcPr>
            <w:tcW w:w="694" w:type="dxa"/>
          </w:tcPr>
          <w:p w14:paraId="22961659" w14:textId="77777777" w:rsidR="0009609E" w:rsidRPr="002C10FB" w:rsidRDefault="0009609E" w:rsidP="000960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72E42B9F"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-1,6</w:t>
            </w:r>
          </w:p>
        </w:tc>
        <w:tc>
          <w:tcPr>
            <w:tcW w:w="851" w:type="dxa"/>
          </w:tcPr>
          <w:p w14:paraId="366A640E"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-1,9</w:t>
            </w:r>
          </w:p>
        </w:tc>
        <w:tc>
          <w:tcPr>
            <w:tcW w:w="850" w:type="dxa"/>
          </w:tcPr>
          <w:p w14:paraId="2A8D3924"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-1,0</w:t>
            </w:r>
          </w:p>
        </w:tc>
        <w:tc>
          <w:tcPr>
            <w:tcW w:w="851" w:type="dxa"/>
          </w:tcPr>
          <w:p w14:paraId="06D5DB92"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-1,4</w:t>
            </w:r>
          </w:p>
        </w:tc>
        <w:tc>
          <w:tcPr>
            <w:tcW w:w="850" w:type="dxa"/>
          </w:tcPr>
          <w:p w14:paraId="55551A13"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C10FB">
              <w:rPr>
                <w:rFonts w:ascii="Times New Roman" w:eastAsia="Calibri" w:hAnsi="Times New Roman" w:cs="Times New Roman"/>
                <w:color w:val="auto"/>
                <w:sz w:val="20"/>
                <w:szCs w:val="20"/>
              </w:rPr>
              <w:t>-</w:t>
            </w:r>
          </w:p>
        </w:tc>
      </w:tr>
      <w:tr w:rsidR="002C10FB" w:rsidRPr="002C10FB" w14:paraId="4A88D983"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7DB9C54A" w14:textId="77777777" w:rsidR="0009609E" w:rsidRPr="002C10FB" w:rsidRDefault="0009609E" w:rsidP="0009609E">
            <w:pPr>
              <w:rPr>
                <w:rFonts w:ascii="Times New Roman" w:hAnsi="Times New Roman" w:cs="Times New Roman"/>
                <w:b w:val="0"/>
                <w:color w:val="auto"/>
                <w:sz w:val="20"/>
                <w:szCs w:val="20"/>
              </w:rPr>
            </w:pPr>
            <w:r w:rsidRPr="002C10FB">
              <w:rPr>
                <w:rFonts w:ascii="Times New Roman" w:hAnsi="Times New Roman" w:cs="Times New Roman"/>
                <w:b w:val="0"/>
                <w:color w:val="auto"/>
                <w:sz w:val="20"/>
                <w:szCs w:val="20"/>
              </w:rPr>
              <w:t>Faktiskā budžeta bilance</w:t>
            </w:r>
          </w:p>
          <w:p w14:paraId="5AD293A1" w14:textId="77777777" w:rsidR="0009609E" w:rsidRPr="002C10FB" w:rsidRDefault="0009609E" w:rsidP="0009609E">
            <w:pPr>
              <w:rPr>
                <w:rFonts w:ascii="Times New Roman" w:hAnsi="Times New Roman" w:cs="Times New Roman"/>
                <w:snapToGrid w:val="0"/>
                <w:color w:val="auto"/>
                <w:sz w:val="20"/>
                <w:szCs w:val="20"/>
              </w:rPr>
            </w:pPr>
            <w:r w:rsidRPr="002C10FB">
              <w:rPr>
                <w:rFonts w:ascii="Times New Roman" w:hAnsi="Times New Roman" w:cs="Times New Roman"/>
                <w:b w:val="0"/>
                <w:color w:val="auto"/>
                <w:sz w:val="20"/>
                <w:szCs w:val="20"/>
              </w:rPr>
              <w:t>(% no IKP)</w:t>
            </w:r>
          </w:p>
        </w:tc>
        <w:tc>
          <w:tcPr>
            <w:tcW w:w="694" w:type="dxa"/>
          </w:tcPr>
          <w:p w14:paraId="5B76691E" w14:textId="77777777" w:rsidR="0009609E" w:rsidRPr="002C10FB"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B.9</w:t>
            </w:r>
          </w:p>
        </w:tc>
        <w:tc>
          <w:tcPr>
            <w:tcW w:w="850" w:type="dxa"/>
          </w:tcPr>
          <w:p w14:paraId="68AB97BC" w14:textId="77777777" w:rsidR="0009609E" w:rsidRPr="002C10FB" w:rsidRDefault="0009609E"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1" w:type="dxa"/>
          </w:tcPr>
          <w:p w14:paraId="19E90075" w14:textId="77777777" w:rsidR="0009609E" w:rsidRPr="002C10FB" w:rsidRDefault="0009609E"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1AC35755" w14:textId="77777777" w:rsidR="0009609E" w:rsidRPr="002C10FB" w:rsidRDefault="0009609E"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1" w:type="dxa"/>
          </w:tcPr>
          <w:p w14:paraId="52FA0EA7" w14:textId="77777777" w:rsidR="0009609E" w:rsidRPr="002C10FB" w:rsidRDefault="0009609E"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p>
        </w:tc>
        <w:tc>
          <w:tcPr>
            <w:tcW w:w="850" w:type="dxa"/>
          </w:tcPr>
          <w:p w14:paraId="5E10EE0A" w14:textId="77777777" w:rsidR="0009609E" w:rsidRPr="002C10FB" w:rsidRDefault="0009609E"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2C10FB" w:rsidRPr="002C10FB" w14:paraId="0FF2AF8E"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7F0D554C" w14:textId="77777777" w:rsidR="0009609E" w:rsidRPr="002C10FB" w:rsidRDefault="0009609E" w:rsidP="0009609E">
            <w:pPr>
              <w:jc w:val="right"/>
              <w:rPr>
                <w:rFonts w:ascii="Times New Roman" w:hAnsi="Times New Roman" w:cs="Times New Roman"/>
                <w:b w:val="0"/>
                <w:color w:val="auto"/>
                <w:sz w:val="20"/>
                <w:szCs w:val="20"/>
              </w:rPr>
            </w:pPr>
            <w:r w:rsidRPr="002C10FB">
              <w:rPr>
                <w:rFonts w:ascii="Times New Roman" w:hAnsi="Times New Roman" w:cs="Times New Roman"/>
                <w:b w:val="0"/>
                <w:color w:val="auto"/>
                <w:sz w:val="20"/>
                <w:szCs w:val="20"/>
              </w:rPr>
              <w:t>2014. gads</w:t>
            </w:r>
          </w:p>
        </w:tc>
        <w:tc>
          <w:tcPr>
            <w:tcW w:w="694" w:type="dxa"/>
          </w:tcPr>
          <w:p w14:paraId="3D8E353A" w14:textId="77777777" w:rsidR="0009609E" w:rsidRPr="002C10FB"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139CCC36"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-1,0</w:t>
            </w:r>
          </w:p>
        </w:tc>
        <w:tc>
          <w:tcPr>
            <w:tcW w:w="851" w:type="dxa"/>
          </w:tcPr>
          <w:p w14:paraId="0152FACE"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-0,8</w:t>
            </w:r>
          </w:p>
        </w:tc>
        <w:tc>
          <w:tcPr>
            <w:tcW w:w="850" w:type="dxa"/>
          </w:tcPr>
          <w:p w14:paraId="676C5360"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-0,7</w:t>
            </w:r>
          </w:p>
        </w:tc>
        <w:tc>
          <w:tcPr>
            <w:tcW w:w="851" w:type="dxa"/>
          </w:tcPr>
          <w:p w14:paraId="41C77FF7"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-0,7</w:t>
            </w:r>
          </w:p>
        </w:tc>
        <w:tc>
          <w:tcPr>
            <w:tcW w:w="850" w:type="dxa"/>
          </w:tcPr>
          <w:p w14:paraId="1D84EFDD"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w:t>
            </w:r>
          </w:p>
        </w:tc>
      </w:tr>
      <w:tr w:rsidR="002C10FB" w:rsidRPr="002C10FB" w14:paraId="508F4D29"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6C458BE3" w14:textId="77777777" w:rsidR="0009609E" w:rsidRPr="002C10FB" w:rsidRDefault="0009609E" w:rsidP="0009609E">
            <w:pPr>
              <w:jc w:val="right"/>
              <w:rPr>
                <w:rFonts w:ascii="Times New Roman" w:hAnsi="Times New Roman" w:cs="Times New Roman"/>
                <w:b w:val="0"/>
                <w:color w:val="auto"/>
                <w:sz w:val="20"/>
                <w:szCs w:val="20"/>
              </w:rPr>
            </w:pPr>
            <w:r w:rsidRPr="002C10FB">
              <w:rPr>
                <w:rFonts w:ascii="Times New Roman" w:hAnsi="Times New Roman" w:cs="Times New Roman"/>
                <w:b w:val="0"/>
                <w:color w:val="auto"/>
                <w:sz w:val="20"/>
                <w:szCs w:val="20"/>
              </w:rPr>
              <w:t>2015. gads</w:t>
            </w:r>
          </w:p>
        </w:tc>
        <w:tc>
          <w:tcPr>
            <w:tcW w:w="694" w:type="dxa"/>
          </w:tcPr>
          <w:p w14:paraId="4314713C" w14:textId="77777777" w:rsidR="0009609E" w:rsidRPr="002C10FB"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0248E8B0"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-1,4</w:t>
            </w:r>
          </w:p>
        </w:tc>
        <w:tc>
          <w:tcPr>
            <w:tcW w:w="851" w:type="dxa"/>
          </w:tcPr>
          <w:p w14:paraId="42134BE7"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-1,5</w:t>
            </w:r>
          </w:p>
        </w:tc>
        <w:tc>
          <w:tcPr>
            <w:tcW w:w="850" w:type="dxa"/>
          </w:tcPr>
          <w:p w14:paraId="7953BDF3"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-1,6</w:t>
            </w:r>
          </w:p>
        </w:tc>
        <w:tc>
          <w:tcPr>
            <w:tcW w:w="851" w:type="dxa"/>
          </w:tcPr>
          <w:p w14:paraId="1CAB0CBD"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-1,3</w:t>
            </w:r>
          </w:p>
        </w:tc>
        <w:tc>
          <w:tcPr>
            <w:tcW w:w="850" w:type="dxa"/>
          </w:tcPr>
          <w:p w14:paraId="69147311"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-1,7</w:t>
            </w:r>
          </w:p>
        </w:tc>
      </w:tr>
      <w:tr w:rsidR="002C10FB" w:rsidRPr="002C10FB" w14:paraId="5C228B35"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248FECA5" w14:textId="77777777" w:rsidR="0009609E" w:rsidRPr="002C10FB" w:rsidRDefault="0009609E" w:rsidP="0009609E">
            <w:pPr>
              <w:jc w:val="right"/>
              <w:rPr>
                <w:rFonts w:ascii="Times New Roman" w:hAnsi="Times New Roman" w:cs="Times New Roman"/>
                <w:b w:val="0"/>
                <w:snapToGrid w:val="0"/>
                <w:color w:val="auto"/>
                <w:sz w:val="20"/>
                <w:szCs w:val="20"/>
              </w:rPr>
            </w:pPr>
            <w:r w:rsidRPr="002C10FB">
              <w:rPr>
                <w:rFonts w:ascii="Times New Roman" w:hAnsi="Times New Roman" w:cs="Times New Roman"/>
                <w:b w:val="0"/>
                <w:snapToGrid w:val="0"/>
                <w:color w:val="auto"/>
                <w:sz w:val="20"/>
                <w:szCs w:val="20"/>
              </w:rPr>
              <w:t>Izmaiņas</w:t>
            </w:r>
          </w:p>
        </w:tc>
        <w:tc>
          <w:tcPr>
            <w:tcW w:w="694" w:type="dxa"/>
          </w:tcPr>
          <w:p w14:paraId="40764C1C" w14:textId="77777777" w:rsidR="0009609E" w:rsidRPr="002C10FB"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1552A3AB"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-0,4</w:t>
            </w:r>
          </w:p>
        </w:tc>
        <w:tc>
          <w:tcPr>
            <w:tcW w:w="851" w:type="dxa"/>
          </w:tcPr>
          <w:p w14:paraId="1E5D9444"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-0,7</w:t>
            </w:r>
          </w:p>
        </w:tc>
        <w:tc>
          <w:tcPr>
            <w:tcW w:w="850" w:type="dxa"/>
          </w:tcPr>
          <w:p w14:paraId="070DB093"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-0,9</w:t>
            </w:r>
          </w:p>
        </w:tc>
        <w:tc>
          <w:tcPr>
            <w:tcW w:w="851" w:type="dxa"/>
          </w:tcPr>
          <w:p w14:paraId="333BAFE6"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-0,6</w:t>
            </w:r>
          </w:p>
        </w:tc>
        <w:tc>
          <w:tcPr>
            <w:tcW w:w="850" w:type="dxa"/>
          </w:tcPr>
          <w:p w14:paraId="13D7E2C0"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2C10FB">
              <w:rPr>
                <w:rFonts w:ascii="Times New Roman" w:eastAsia="Arial Unicode MS" w:hAnsi="Times New Roman" w:cs="Times New Roman"/>
                <w:color w:val="auto"/>
                <w:sz w:val="20"/>
                <w:szCs w:val="20"/>
              </w:rPr>
              <w:t>-</w:t>
            </w:r>
          </w:p>
        </w:tc>
      </w:tr>
      <w:tr w:rsidR="002C10FB" w:rsidRPr="002C10FB" w14:paraId="009EA96E"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34435795" w14:textId="77777777" w:rsidR="0009609E" w:rsidRPr="002C10FB" w:rsidRDefault="0009609E" w:rsidP="0009609E">
            <w:pPr>
              <w:rPr>
                <w:rFonts w:ascii="Times New Roman" w:hAnsi="Times New Roman" w:cs="Times New Roman"/>
                <w:snapToGrid w:val="0"/>
                <w:color w:val="auto"/>
                <w:sz w:val="20"/>
                <w:szCs w:val="20"/>
              </w:rPr>
            </w:pPr>
            <w:r w:rsidRPr="002C10FB">
              <w:rPr>
                <w:rFonts w:ascii="Times New Roman" w:hAnsi="Times New Roman" w:cs="Times New Roman"/>
                <w:b w:val="0"/>
                <w:color w:val="auto"/>
                <w:sz w:val="20"/>
                <w:szCs w:val="20"/>
              </w:rPr>
              <w:t>Vispārējās valdības kopējais parāds (% no IKP)</w:t>
            </w:r>
          </w:p>
        </w:tc>
        <w:tc>
          <w:tcPr>
            <w:tcW w:w="694" w:type="dxa"/>
          </w:tcPr>
          <w:p w14:paraId="1683B51D" w14:textId="77777777" w:rsidR="0009609E" w:rsidRPr="002C10FB"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55C7E609" w14:textId="77777777" w:rsidR="0009609E" w:rsidRPr="002C10FB" w:rsidRDefault="0009609E"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1" w:type="dxa"/>
          </w:tcPr>
          <w:p w14:paraId="70D0D290" w14:textId="77777777" w:rsidR="0009609E" w:rsidRPr="002C10FB" w:rsidRDefault="0009609E"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162AE2B7" w14:textId="77777777" w:rsidR="0009609E" w:rsidRPr="002C10FB" w:rsidRDefault="0009609E"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1" w:type="dxa"/>
          </w:tcPr>
          <w:p w14:paraId="06483876" w14:textId="77777777" w:rsidR="0009609E" w:rsidRPr="002C10FB" w:rsidRDefault="0009609E"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p>
        </w:tc>
        <w:tc>
          <w:tcPr>
            <w:tcW w:w="850" w:type="dxa"/>
          </w:tcPr>
          <w:p w14:paraId="1BAAC044"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2C10FB" w:rsidRPr="002C10FB" w14:paraId="477A7F42"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61D68154" w14:textId="77777777" w:rsidR="0009609E" w:rsidRPr="002C10FB" w:rsidRDefault="0009609E" w:rsidP="0009609E">
            <w:pPr>
              <w:jc w:val="right"/>
              <w:rPr>
                <w:rFonts w:ascii="Times New Roman" w:hAnsi="Times New Roman" w:cs="Times New Roman"/>
                <w:b w:val="0"/>
                <w:color w:val="auto"/>
                <w:sz w:val="20"/>
                <w:szCs w:val="20"/>
              </w:rPr>
            </w:pPr>
            <w:r w:rsidRPr="002C10FB">
              <w:rPr>
                <w:rFonts w:ascii="Times New Roman" w:hAnsi="Times New Roman" w:cs="Times New Roman"/>
                <w:b w:val="0"/>
                <w:color w:val="auto"/>
                <w:sz w:val="20"/>
                <w:szCs w:val="20"/>
              </w:rPr>
              <w:t>2014. gads</w:t>
            </w:r>
          </w:p>
        </w:tc>
        <w:tc>
          <w:tcPr>
            <w:tcW w:w="694" w:type="dxa"/>
          </w:tcPr>
          <w:p w14:paraId="7D2C5F56" w14:textId="77777777" w:rsidR="0009609E" w:rsidRPr="002C10FB"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2A525A28"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38,8</w:t>
            </w:r>
          </w:p>
        </w:tc>
        <w:tc>
          <w:tcPr>
            <w:tcW w:w="851" w:type="dxa"/>
          </w:tcPr>
          <w:p w14:paraId="34598A5F"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32,9</w:t>
            </w:r>
          </w:p>
        </w:tc>
        <w:tc>
          <w:tcPr>
            <w:tcW w:w="850" w:type="dxa"/>
          </w:tcPr>
          <w:p w14:paraId="6A1E302E"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34,2</w:t>
            </w:r>
          </w:p>
        </w:tc>
        <w:tc>
          <w:tcPr>
            <w:tcW w:w="851" w:type="dxa"/>
          </w:tcPr>
          <w:p w14:paraId="232B5477" w14:textId="77777777" w:rsidR="0009609E" w:rsidRPr="002C10FB" w:rsidRDefault="0009609E" w:rsidP="0052722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31,3</w:t>
            </w:r>
          </w:p>
        </w:tc>
        <w:tc>
          <w:tcPr>
            <w:tcW w:w="850" w:type="dxa"/>
          </w:tcPr>
          <w:p w14:paraId="50542774" w14:textId="77777777" w:rsidR="0009609E" w:rsidRPr="002C10FB" w:rsidRDefault="0009609E"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w:t>
            </w:r>
          </w:p>
        </w:tc>
      </w:tr>
      <w:tr w:rsidR="002C10FB" w:rsidRPr="002C10FB" w14:paraId="34319F13" w14:textId="77777777" w:rsidTr="002C10F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119" w:type="dxa"/>
          </w:tcPr>
          <w:p w14:paraId="4170D2F4" w14:textId="77777777" w:rsidR="0009609E" w:rsidRPr="002C10FB" w:rsidRDefault="0009609E" w:rsidP="0009609E">
            <w:pPr>
              <w:jc w:val="right"/>
              <w:rPr>
                <w:rFonts w:ascii="Times New Roman" w:hAnsi="Times New Roman" w:cs="Times New Roman"/>
                <w:b w:val="0"/>
                <w:color w:val="auto"/>
                <w:sz w:val="20"/>
                <w:szCs w:val="20"/>
              </w:rPr>
            </w:pPr>
            <w:r w:rsidRPr="002C10FB">
              <w:rPr>
                <w:rFonts w:ascii="Times New Roman" w:hAnsi="Times New Roman" w:cs="Times New Roman"/>
                <w:b w:val="0"/>
                <w:color w:val="auto"/>
                <w:sz w:val="20"/>
                <w:szCs w:val="20"/>
              </w:rPr>
              <w:t>2015. gads</w:t>
            </w:r>
          </w:p>
        </w:tc>
        <w:tc>
          <w:tcPr>
            <w:tcW w:w="694" w:type="dxa"/>
          </w:tcPr>
          <w:p w14:paraId="2059BB86" w14:textId="77777777" w:rsidR="0009609E" w:rsidRPr="002C10FB"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2D7BD833" w14:textId="77777777" w:rsidR="0009609E" w:rsidRPr="002C10FB" w:rsidRDefault="0009609E"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40,0</w:t>
            </w:r>
          </w:p>
        </w:tc>
        <w:tc>
          <w:tcPr>
            <w:tcW w:w="851" w:type="dxa"/>
          </w:tcPr>
          <w:p w14:paraId="0321F22D"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37,0</w:t>
            </w:r>
          </w:p>
        </w:tc>
        <w:tc>
          <w:tcPr>
            <w:tcW w:w="850" w:type="dxa"/>
          </w:tcPr>
          <w:p w14:paraId="48544D10"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40,0</w:t>
            </w:r>
          </w:p>
        </w:tc>
        <w:tc>
          <w:tcPr>
            <w:tcW w:w="851" w:type="dxa"/>
          </w:tcPr>
          <w:p w14:paraId="651D38CD"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37,3</w:t>
            </w:r>
          </w:p>
        </w:tc>
        <w:tc>
          <w:tcPr>
            <w:tcW w:w="850" w:type="dxa"/>
          </w:tcPr>
          <w:p w14:paraId="2D190716" w14:textId="77777777" w:rsidR="0009609E" w:rsidRPr="002C10FB" w:rsidRDefault="0009609E" w:rsidP="00527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34,1</w:t>
            </w:r>
          </w:p>
        </w:tc>
      </w:tr>
      <w:tr w:rsidR="002C10FB" w:rsidRPr="002C10FB" w14:paraId="5E29C330"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6EB06BB3" w14:textId="77777777" w:rsidR="0009609E" w:rsidRPr="002C10FB" w:rsidRDefault="0009609E" w:rsidP="0009609E">
            <w:pPr>
              <w:jc w:val="right"/>
              <w:rPr>
                <w:rFonts w:ascii="Times New Roman" w:hAnsi="Times New Roman" w:cs="Times New Roman"/>
                <w:b w:val="0"/>
                <w:snapToGrid w:val="0"/>
                <w:color w:val="auto"/>
                <w:sz w:val="20"/>
                <w:szCs w:val="20"/>
              </w:rPr>
            </w:pPr>
            <w:r w:rsidRPr="002C10FB">
              <w:rPr>
                <w:rFonts w:ascii="Times New Roman" w:hAnsi="Times New Roman" w:cs="Times New Roman"/>
                <w:b w:val="0"/>
                <w:snapToGrid w:val="0"/>
                <w:color w:val="auto"/>
                <w:sz w:val="20"/>
                <w:szCs w:val="20"/>
              </w:rPr>
              <w:t>Izmaiņas</w:t>
            </w:r>
          </w:p>
        </w:tc>
        <w:tc>
          <w:tcPr>
            <w:tcW w:w="694" w:type="dxa"/>
          </w:tcPr>
          <w:p w14:paraId="01209D07" w14:textId="77777777" w:rsidR="0009609E" w:rsidRPr="002C10FB"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5B34D7B4" w14:textId="77777777" w:rsidR="0009609E" w:rsidRPr="002C10FB" w:rsidRDefault="0009609E"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+1,2</w:t>
            </w:r>
          </w:p>
        </w:tc>
        <w:tc>
          <w:tcPr>
            <w:tcW w:w="851" w:type="dxa"/>
          </w:tcPr>
          <w:p w14:paraId="1543FD25" w14:textId="77777777" w:rsidR="0009609E" w:rsidRPr="002C10FB" w:rsidRDefault="0009609E"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+4,1</w:t>
            </w:r>
          </w:p>
        </w:tc>
        <w:tc>
          <w:tcPr>
            <w:tcW w:w="850" w:type="dxa"/>
          </w:tcPr>
          <w:p w14:paraId="6C5330D5" w14:textId="77777777" w:rsidR="0009609E" w:rsidRPr="002C10FB" w:rsidRDefault="0009609E"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+5,8</w:t>
            </w:r>
          </w:p>
        </w:tc>
        <w:tc>
          <w:tcPr>
            <w:tcW w:w="851" w:type="dxa"/>
          </w:tcPr>
          <w:p w14:paraId="4E8544A7" w14:textId="77777777" w:rsidR="0009609E" w:rsidRPr="002C10FB" w:rsidRDefault="0009609E"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+6,0</w:t>
            </w:r>
          </w:p>
        </w:tc>
        <w:tc>
          <w:tcPr>
            <w:tcW w:w="850" w:type="dxa"/>
          </w:tcPr>
          <w:p w14:paraId="69A79C72" w14:textId="77777777" w:rsidR="0009609E" w:rsidRPr="002C10FB" w:rsidRDefault="0009609E"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w:t>
            </w:r>
          </w:p>
        </w:tc>
      </w:tr>
    </w:tbl>
    <w:p w14:paraId="0331F95C" w14:textId="51028964" w:rsidR="0009609E" w:rsidRDefault="00BD3877" w:rsidP="00BD3877">
      <w:pPr>
        <w:pStyle w:val="teksts"/>
        <w:spacing w:before="120" w:after="60"/>
        <w:ind w:firstLine="720"/>
        <w:rPr>
          <w:rFonts w:ascii="Times New Roman" w:eastAsia="Calibri" w:hAnsi="Times New Roman"/>
          <w:szCs w:val="24"/>
        </w:rPr>
      </w:pPr>
      <w:r>
        <w:rPr>
          <w:rFonts w:ascii="Times New Roman" w:eastAsia="Calibri" w:hAnsi="Times New Roman"/>
          <w:szCs w:val="24"/>
        </w:rPr>
        <w:t>FM</w:t>
      </w:r>
      <w:r w:rsidR="0009609E">
        <w:rPr>
          <w:rFonts w:ascii="Times New Roman" w:eastAsia="Calibri" w:hAnsi="Times New Roman"/>
          <w:szCs w:val="24"/>
        </w:rPr>
        <w:t xml:space="preserve"> vērtējumā v</w:t>
      </w:r>
      <w:r w:rsidR="0009609E" w:rsidRPr="00485B36">
        <w:rPr>
          <w:rFonts w:ascii="Times New Roman" w:eastAsia="Calibri" w:hAnsi="Times New Roman"/>
          <w:szCs w:val="24"/>
        </w:rPr>
        <w:t>ispārējā</w:t>
      </w:r>
      <w:r w:rsidR="0009609E">
        <w:rPr>
          <w:rFonts w:ascii="Times New Roman" w:eastAsia="Calibri" w:hAnsi="Times New Roman"/>
          <w:szCs w:val="24"/>
        </w:rPr>
        <w:t>s valdības budžeta deficīts 2014</w:t>
      </w:r>
      <w:r w:rsidR="0009609E" w:rsidRPr="00485B36">
        <w:rPr>
          <w:rFonts w:ascii="Times New Roman" w:eastAsia="Calibri" w:hAnsi="Times New Roman"/>
          <w:szCs w:val="24"/>
        </w:rPr>
        <w:t xml:space="preserve">.gadā bija </w:t>
      </w:r>
      <w:r w:rsidR="0009609E">
        <w:rPr>
          <w:rFonts w:ascii="Times New Roman" w:eastAsia="Calibri" w:hAnsi="Times New Roman"/>
          <w:szCs w:val="24"/>
        </w:rPr>
        <w:t>par 0,4 procentpunktiem augstāks</w:t>
      </w:r>
      <w:r w:rsidR="0009609E" w:rsidRPr="00485B36">
        <w:rPr>
          <w:rFonts w:ascii="Times New Roman" w:eastAsia="Calibri" w:hAnsi="Times New Roman"/>
          <w:szCs w:val="24"/>
        </w:rPr>
        <w:t xml:space="preserve"> nekā </w:t>
      </w:r>
      <w:r w:rsidR="0009609E">
        <w:rPr>
          <w:rFonts w:ascii="Times New Roman" w:eastAsia="Calibri" w:hAnsi="Times New Roman"/>
          <w:szCs w:val="24"/>
        </w:rPr>
        <w:t xml:space="preserve">tika prognozēts </w:t>
      </w:r>
      <w:r w:rsidR="0009609E" w:rsidRPr="00485B36">
        <w:rPr>
          <w:rFonts w:ascii="Times New Roman" w:eastAsia="Calibri" w:hAnsi="Times New Roman"/>
          <w:szCs w:val="24"/>
        </w:rPr>
        <w:t xml:space="preserve">iepriekšējā </w:t>
      </w:r>
      <w:r w:rsidR="0009609E">
        <w:rPr>
          <w:rFonts w:ascii="Times New Roman" w:eastAsia="Calibri" w:hAnsi="Times New Roman"/>
          <w:szCs w:val="24"/>
        </w:rPr>
        <w:t>Stabilitātes programmā. Deficīta palielināšanos p</w:t>
      </w:r>
      <w:r w:rsidR="0009609E" w:rsidRPr="00485B36">
        <w:rPr>
          <w:rFonts w:ascii="Times New Roman" w:eastAsia="Calibri" w:hAnsi="Times New Roman"/>
          <w:szCs w:val="24"/>
        </w:rPr>
        <w:t xml:space="preserve">amatā </w:t>
      </w:r>
      <w:r w:rsidR="0009609E">
        <w:rPr>
          <w:rFonts w:ascii="Times New Roman" w:eastAsia="Calibri" w:hAnsi="Times New Roman"/>
          <w:szCs w:val="24"/>
        </w:rPr>
        <w:t xml:space="preserve">ietekmēja zemāki nodokļu ieņēmumi, ņemot vērā ekonomikas pieauguma tempu palēnināšanos, un izdevumu pieaugums sociālajiem pabalstiem, kapitālajiem izdevumiem, kā arī citi vienreizējie izdevumi. Aktualizētās </w:t>
      </w:r>
      <w:r w:rsidR="0009609E" w:rsidRPr="00485B36">
        <w:rPr>
          <w:rFonts w:ascii="Times New Roman" w:eastAsiaTheme="minorHAnsi" w:hAnsi="Times New Roman"/>
          <w:szCs w:val="24"/>
        </w:rPr>
        <w:t xml:space="preserve">vispārējās valdības budžeta </w:t>
      </w:r>
      <w:r w:rsidR="0009609E">
        <w:rPr>
          <w:rFonts w:ascii="Times New Roman" w:eastAsiaTheme="minorHAnsi" w:hAnsi="Times New Roman"/>
          <w:szCs w:val="24"/>
        </w:rPr>
        <w:t xml:space="preserve">prognozes paredz deficītu 2015.gadā 1,5% no IKP, 2016.gadā 1,6% no IKP, 2017.gadā 1,3% no IKP un 2018.gadā 1,7% no IKP apmērā. </w:t>
      </w:r>
      <w:r w:rsidR="0009609E" w:rsidRPr="00485B36">
        <w:rPr>
          <w:rFonts w:ascii="Times New Roman" w:eastAsiaTheme="minorHAnsi" w:hAnsi="Times New Roman"/>
          <w:szCs w:val="24"/>
        </w:rPr>
        <w:t>Vispārējās valdības budžeta prognozes ir balstītas uz aktualizētām nodokļu ieņēmumu prognozēm at</w:t>
      </w:r>
      <w:r w:rsidR="0009609E">
        <w:rPr>
          <w:rFonts w:ascii="Times New Roman" w:eastAsiaTheme="minorHAnsi" w:hAnsi="Times New Roman"/>
          <w:szCs w:val="24"/>
        </w:rPr>
        <w:t>bilstoši jaunākajam makroekonomika</w:t>
      </w:r>
      <w:r w:rsidR="0009609E" w:rsidRPr="00485B36">
        <w:rPr>
          <w:rFonts w:ascii="Times New Roman" w:eastAsiaTheme="minorHAnsi" w:hAnsi="Times New Roman"/>
          <w:szCs w:val="24"/>
        </w:rPr>
        <w:t>s attīstības scenārijam</w:t>
      </w:r>
      <w:r w:rsidR="0009609E">
        <w:rPr>
          <w:rFonts w:ascii="Times New Roman" w:eastAsiaTheme="minorHAnsi" w:hAnsi="Times New Roman"/>
          <w:szCs w:val="24"/>
        </w:rPr>
        <w:t>, kas ir būtiski zemākas nekā prognozēts iepriekš</w:t>
      </w:r>
      <w:r w:rsidR="0009609E" w:rsidRPr="00485B36">
        <w:rPr>
          <w:rFonts w:ascii="Times New Roman" w:eastAsiaTheme="minorHAnsi" w:hAnsi="Times New Roman"/>
          <w:szCs w:val="24"/>
        </w:rPr>
        <w:t xml:space="preserve">. </w:t>
      </w:r>
      <w:r w:rsidR="0009609E">
        <w:rPr>
          <w:rFonts w:ascii="Times New Roman" w:eastAsia="Calibri" w:hAnsi="Times New Roman"/>
          <w:szCs w:val="24"/>
        </w:rPr>
        <w:t>V</w:t>
      </w:r>
      <w:r w:rsidR="0009609E" w:rsidRPr="00485B36">
        <w:rPr>
          <w:rFonts w:ascii="Times New Roman" w:eastAsia="Calibri" w:hAnsi="Times New Roman"/>
          <w:szCs w:val="24"/>
        </w:rPr>
        <w:t xml:space="preserve">ispārējās valdības budžeta bilance </w:t>
      </w:r>
      <w:r w:rsidR="0009609E">
        <w:rPr>
          <w:rFonts w:ascii="Times New Roman" w:eastAsia="Calibri" w:hAnsi="Times New Roman"/>
          <w:szCs w:val="24"/>
        </w:rPr>
        <w:t xml:space="preserve">turpmākajiem gadiem </w:t>
      </w:r>
      <w:r w:rsidR="0009609E" w:rsidRPr="00485B36">
        <w:rPr>
          <w:rFonts w:ascii="Times New Roman" w:eastAsia="Calibri" w:hAnsi="Times New Roman"/>
          <w:szCs w:val="24"/>
        </w:rPr>
        <w:t>tiek noteikta, ņemot vērā strukturālās budžeta bilances mērķi</w:t>
      </w:r>
      <w:r w:rsidR="0009609E">
        <w:rPr>
          <w:rFonts w:ascii="Times New Roman" w:eastAsia="Calibri" w:hAnsi="Times New Roman"/>
          <w:szCs w:val="24"/>
        </w:rPr>
        <w:t xml:space="preserve">, </w:t>
      </w:r>
      <w:r w:rsidR="0009609E" w:rsidRPr="00485B36">
        <w:rPr>
          <w:rFonts w:ascii="Times New Roman" w:eastAsia="Calibri" w:hAnsi="Times New Roman"/>
          <w:szCs w:val="24"/>
        </w:rPr>
        <w:t>izmaiņas budžeta bilances cikliskajā komponentē atbilstoši makroekonomikas attīstības scenārijam</w:t>
      </w:r>
      <w:r w:rsidR="0009609E">
        <w:rPr>
          <w:rFonts w:ascii="Times New Roman" w:eastAsia="Calibri" w:hAnsi="Times New Roman"/>
          <w:szCs w:val="24"/>
        </w:rPr>
        <w:t>, kā arī vienreizējos izdevumus (</w:t>
      </w:r>
      <w:r w:rsidR="0009609E" w:rsidRPr="007A210B">
        <w:rPr>
          <w:rFonts w:ascii="Times New Roman" w:eastAsia="Calibri" w:hAnsi="Times New Roman"/>
          <w:i/>
          <w:noProof/>
          <w:szCs w:val="24"/>
        </w:rPr>
        <w:t>one-off</w:t>
      </w:r>
      <w:r w:rsidR="0009609E">
        <w:rPr>
          <w:rFonts w:ascii="Times New Roman" w:eastAsia="Calibri" w:hAnsi="Times New Roman"/>
          <w:szCs w:val="24"/>
        </w:rPr>
        <w:t>) straujākai finansējuma palielināšanai aizsardzības jomā.</w:t>
      </w:r>
    </w:p>
    <w:p w14:paraId="0EBE07F3" w14:textId="18FC4004" w:rsidR="0009609E" w:rsidRPr="001106C6" w:rsidRDefault="0009609E" w:rsidP="001106C6">
      <w:pPr>
        <w:pStyle w:val="teksts"/>
        <w:spacing w:after="60"/>
        <w:ind w:firstLine="720"/>
        <w:rPr>
          <w:rFonts w:ascii="Times New Roman" w:eastAsia="Calibri" w:hAnsi="Times New Roman"/>
          <w:szCs w:val="24"/>
        </w:rPr>
      </w:pPr>
      <w:r w:rsidRPr="0009609E">
        <w:rPr>
          <w:rFonts w:ascii="Times New Roman" w:eastAsia="Calibri" w:hAnsi="Times New Roman"/>
          <w:szCs w:val="24"/>
        </w:rPr>
        <w:t>Vispārējās valdības parāda prognoze ir palielināta, salīdzinot ar 2014. – 2017.gada Stabilitātes programmas prognozēm, ņemot vērā aktualizētu valst</w:t>
      </w:r>
      <w:r w:rsidR="00BD3877">
        <w:rPr>
          <w:rFonts w:ascii="Times New Roman" w:eastAsia="Calibri" w:hAnsi="Times New Roman"/>
          <w:szCs w:val="24"/>
        </w:rPr>
        <w:t xml:space="preserve">s budžeta izpildes prognozi un </w:t>
      </w:r>
      <w:r w:rsidRPr="0009609E">
        <w:rPr>
          <w:rFonts w:ascii="Times New Roman" w:eastAsia="Calibri" w:hAnsi="Times New Roman"/>
          <w:szCs w:val="24"/>
        </w:rPr>
        <w:t>precizētu aizņemšan</w:t>
      </w:r>
      <w:r w:rsidR="00BD3877">
        <w:rPr>
          <w:rFonts w:ascii="Times New Roman" w:eastAsia="Calibri" w:hAnsi="Times New Roman"/>
          <w:szCs w:val="24"/>
        </w:rPr>
        <w:t>ās stratēģiju vidējam termiņam,</w:t>
      </w:r>
      <w:r w:rsidRPr="0009609E">
        <w:rPr>
          <w:rFonts w:ascii="Times New Roman" w:eastAsia="Calibri" w:hAnsi="Times New Roman"/>
          <w:szCs w:val="24"/>
        </w:rPr>
        <w:t xml:space="preserve"> kā arī aktualizētās ekonomikas attīstības prognozes.</w:t>
      </w:r>
    </w:p>
    <w:p w14:paraId="2B43B472" w14:textId="77777777" w:rsidR="005536A9" w:rsidRPr="00F51615" w:rsidRDefault="005536A9" w:rsidP="00F512CA">
      <w:pPr>
        <w:pStyle w:val="Heading1"/>
        <w:numPr>
          <w:ilvl w:val="0"/>
          <w:numId w:val="1"/>
        </w:numPr>
        <w:ind w:left="284" w:hanging="283"/>
        <w:jc w:val="center"/>
        <w:rPr>
          <w:rFonts w:ascii="Times New Roman" w:hAnsi="Times New Roman" w:cs="Times New Roman"/>
          <w:sz w:val="32"/>
        </w:rPr>
      </w:pPr>
      <w:bookmarkStart w:id="15" w:name="_Toc416279076"/>
      <w:r w:rsidRPr="00F51615">
        <w:rPr>
          <w:rFonts w:ascii="Times New Roman" w:hAnsi="Times New Roman" w:cs="Times New Roman"/>
          <w:sz w:val="32"/>
        </w:rPr>
        <w:t>Valsts finanšu kvalitāte</w:t>
      </w:r>
      <w:bookmarkEnd w:id="15"/>
    </w:p>
    <w:p w14:paraId="5F6E319C" w14:textId="77777777" w:rsidR="00A34463" w:rsidRPr="00551458" w:rsidRDefault="00A34463" w:rsidP="00551458">
      <w:pPr>
        <w:pStyle w:val="Heading2"/>
        <w:numPr>
          <w:ilvl w:val="1"/>
          <w:numId w:val="1"/>
        </w:numPr>
        <w:spacing w:before="240" w:after="120"/>
        <w:ind w:left="709"/>
        <w:rPr>
          <w:rFonts w:ascii="Times New Roman" w:hAnsi="Times New Roman" w:cs="Times New Roman"/>
        </w:rPr>
      </w:pPr>
      <w:bookmarkStart w:id="16" w:name="_Toc416279077"/>
      <w:r w:rsidRPr="00551458">
        <w:rPr>
          <w:rFonts w:ascii="Times New Roman" w:hAnsi="Times New Roman" w:cs="Times New Roman"/>
        </w:rPr>
        <w:t>Valsts budžeta līdzekļu efektivitāte un izlietojuma kontrole</w:t>
      </w:r>
      <w:bookmarkEnd w:id="16"/>
    </w:p>
    <w:p w14:paraId="2172105B" w14:textId="77777777" w:rsidR="00232B17" w:rsidRPr="00551458" w:rsidRDefault="00232B17" w:rsidP="00551458">
      <w:pPr>
        <w:pStyle w:val="Default"/>
        <w:spacing w:after="60"/>
        <w:ind w:firstLine="720"/>
        <w:jc w:val="both"/>
        <w:rPr>
          <w:szCs w:val="23"/>
        </w:rPr>
      </w:pPr>
      <w:r w:rsidRPr="00551458">
        <w:rPr>
          <w:szCs w:val="23"/>
        </w:rPr>
        <w:t xml:space="preserve">Valsts budžeta izstrādāšanas, apstiprināšanas un izpildes kārtību un atbildību budžeta procesā nosaka LBFV. Par valsts budžeta izpildes procesa organizāciju un vadību atbildīgs ir finanšu ministrs. </w:t>
      </w:r>
    </w:p>
    <w:p w14:paraId="2FEA2F01" w14:textId="77777777" w:rsidR="00232B17" w:rsidRPr="00551458" w:rsidRDefault="00232B17" w:rsidP="00551458">
      <w:pPr>
        <w:pStyle w:val="Default"/>
        <w:spacing w:after="60"/>
        <w:ind w:firstLine="720"/>
        <w:jc w:val="both"/>
        <w:rPr>
          <w:szCs w:val="23"/>
        </w:rPr>
      </w:pPr>
      <w:r w:rsidRPr="00551458">
        <w:rPr>
          <w:szCs w:val="23"/>
        </w:rPr>
        <w:t xml:space="preserve">Saskaņā ar LBFV budžeta finansētu institūciju, budžeta nefinansētu iestāžu un pašvaldību, kā arī kapitālsabiedrību, kurās ieguldīta valsts vai pašvaldību kapitāla daļa, vadītāji ir atbildīgi par minētajā likumā noteiktās kārtības un prasību ievērošanu, izpildi un kontroli, kā arī par budžeta līdzekļu efektīvu un ekonomisku izlietošanu atbilstoši paredzētajiem mērķiem. </w:t>
      </w:r>
    </w:p>
    <w:p w14:paraId="4619F8D4" w14:textId="77777777" w:rsidR="00232B17" w:rsidRPr="00551458" w:rsidRDefault="00232B17" w:rsidP="00551458">
      <w:pPr>
        <w:pStyle w:val="Default"/>
        <w:spacing w:after="60"/>
        <w:ind w:firstLine="720"/>
        <w:jc w:val="both"/>
        <w:rPr>
          <w:szCs w:val="23"/>
        </w:rPr>
      </w:pPr>
      <w:r w:rsidRPr="00551458">
        <w:rPr>
          <w:szCs w:val="23"/>
        </w:rPr>
        <w:t xml:space="preserve">Saskaņā ar LBFV finanšu ministrs nodrošina gadskārtējā valsts budžeta likuma projekta izstrādi. Izstrādājot gadskārtējo valsts budžeta likuma projektu, finanšu ministrs izvērtē budžeta pieprasījumu atbilstību paredzētajiem mērķiem, sasniedzamajiem rezultātiem, ekonomiskuma un efektivitātes principiem un, ja nepieciešams, pieprasa papildu informāciju. Pamatojoties uz izvērtējumu un sniegto informāciju, finanšu ministrs (līdz gadskārtējā valsts budžeta likuma projekta iesniegšanai MK) pieņem lēmumu par budžeta pieprasījumu iekļaušanu gadskārtējā valsts budžeta likuma projektā. Finanšu ministrs jebkurā valsts budžeta likuma projekta izskatīšanas stadijā var izteikt savu viedokli, pievienot nepieciešamos atzinumus, kā arī atsevišķu revīziju rezultātus. </w:t>
      </w:r>
    </w:p>
    <w:p w14:paraId="6D6BB115" w14:textId="77777777" w:rsidR="00232B17" w:rsidRPr="00551458" w:rsidRDefault="00232B17" w:rsidP="00551458">
      <w:pPr>
        <w:pStyle w:val="Default"/>
        <w:spacing w:after="60"/>
        <w:ind w:firstLine="720"/>
        <w:jc w:val="both"/>
        <w:rPr>
          <w:szCs w:val="23"/>
        </w:rPr>
      </w:pPr>
      <w:r w:rsidRPr="00551458">
        <w:rPr>
          <w:szCs w:val="23"/>
        </w:rPr>
        <w:t xml:space="preserve">Saskaņā ar LBFV valsts budžeta izpildītāji var veikt valsts budžeta izdevumus vai uzņemties īstermiņa saistības tikai to finansēšanas plānos noteikto asignējumu ietvaros, kurus izsniedz VK. Savukārt VK piešķir asignējumus izdevumiem, pamatojoties uz gadskārtējā valsts budžeta likumā noteikto apropriāciju un nodrošina to izpildi MK noteiktajā kārtībā. Budžeta iestādes var uzņemties valsts budžeta ilgtermiņa saistības, nepārsniedzot saimnieciskā gada valsts budžeta likumā noteiktos valsts budžeta ilgtermiņa saistību maksimāli pieļaujamos apjomus. </w:t>
      </w:r>
    </w:p>
    <w:p w14:paraId="57756B30" w14:textId="77777777" w:rsidR="00232B17" w:rsidRPr="00551458" w:rsidRDefault="00232B17" w:rsidP="00551458">
      <w:pPr>
        <w:pStyle w:val="Default"/>
        <w:spacing w:after="60"/>
        <w:ind w:firstLine="720"/>
        <w:jc w:val="both"/>
        <w:rPr>
          <w:szCs w:val="23"/>
        </w:rPr>
      </w:pPr>
      <w:r w:rsidRPr="00551458">
        <w:rPr>
          <w:szCs w:val="23"/>
        </w:rPr>
        <w:t xml:space="preserve">Lai nodrošinātu valsts budžeta izpildes uzraudzību, kā arī veicinātu budžeta izlietojuma kontroli, VK gatavo pārskatus par valsts un pašvaldību budžetu izpildi, nodrošinot ministriju, citu centrālo valsts iestāžu, FM, kā arī sabiedrības informēšanu par budžeta izpildes gaitu. </w:t>
      </w:r>
    </w:p>
    <w:p w14:paraId="4E9DF451" w14:textId="77777777" w:rsidR="00232B17" w:rsidRPr="00551458" w:rsidRDefault="00232B17" w:rsidP="00551458">
      <w:pPr>
        <w:pStyle w:val="Default"/>
        <w:spacing w:after="60"/>
        <w:ind w:firstLine="720"/>
        <w:jc w:val="both"/>
        <w:rPr>
          <w:szCs w:val="23"/>
        </w:rPr>
      </w:pPr>
      <w:r w:rsidRPr="00551458">
        <w:rPr>
          <w:szCs w:val="23"/>
        </w:rPr>
        <w:t xml:space="preserve">Vienlaikus budžeta mērķu sasniegšanai nozaru ministrijas un citas centrālās valsts iestādes reizi ceturksnī sagatavo pārskatus par valsts budžeta izpildes gaitu un iesniedz tos FM. Pārskatos tiek sniegta informācija par valsts budžeta izpildi attiecīgajā pārskata periodā – veikto izdevumu salīdzinājums ar iepriekšējā gada pārskata periodu, salīdzinājums ar pārskata perioda plānu, pārskats par veiktajām un neveiktajām aktivitātēm, informācija par finanšu vadības uzlabošanas pasākumiem u.c. </w:t>
      </w:r>
    </w:p>
    <w:p w14:paraId="1CB2A623" w14:textId="77777777" w:rsidR="00232B17" w:rsidRPr="00551458" w:rsidRDefault="00232B17" w:rsidP="00551458">
      <w:pPr>
        <w:pStyle w:val="Default"/>
        <w:spacing w:after="60"/>
        <w:ind w:firstLine="720"/>
        <w:jc w:val="both"/>
        <w:rPr>
          <w:szCs w:val="23"/>
        </w:rPr>
      </w:pPr>
      <w:r w:rsidRPr="00551458">
        <w:rPr>
          <w:szCs w:val="23"/>
        </w:rPr>
        <w:t xml:space="preserve">Finanšu ministrs informē Saeimas Budžeta un finanšu (nodokļu) komisiju gadskārtējā valsts budžeta likumprojekta vai tā grozījumu izstrādes procesa laikā par valsts budžeta plānošanas gaitu, kā arī ne retāk kā reizi ceturksnī — par valsts budžeta izpildes gaitu. </w:t>
      </w:r>
    </w:p>
    <w:p w14:paraId="0C9C56F9" w14:textId="77777777" w:rsidR="00232B17" w:rsidRPr="00551458" w:rsidRDefault="00232B17" w:rsidP="00551458">
      <w:pPr>
        <w:pStyle w:val="Default"/>
        <w:spacing w:after="60"/>
        <w:ind w:firstLine="720"/>
        <w:jc w:val="both"/>
        <w:rPr>
          <w:szCs w:val="23"/>
        </w:rPr>
      </w:pPr>
      <w:r w:rsidRPr="00551458">
        <w:rPr>
          <w:szCs w:val="23"/>
        </w:rPr>
        <w:t>Sākot ar 2012.gada valsts budžeta izstrādi ir uzlabota darbības līmeņa rezultātu un to rezultatīvo rādītāju plānošanas un atspoguļošanas kārtība ministriju un citu centrālo valsts iestāžu budžetu pieprasījumos. Minētā informācija ir ietverta gadskārtējam valsts budžeta likumam pievienotajos paskaidrojumos, tādā veidā nodrošinot parlamenta un sabiedrības informēšanu.</w:t>
      </w:r>
    </w:p>
    <w:p w14:paraId="64C14228" w14:textId="77777777" w:rsidR="00232B17" w:rsidRPr="00551458" w:rsidRDefault="00232B17" w:rsidP="00551458">
      <w:pPr>
        <w:pStyle w:val="Default"/>
        <w:spacing w:after="60"/>
        <w:ind w:firstLine="720"/>
        <w:jc w:val="both"/>
        <w:rPr>
          <w:szCs w:val="23"/>
        </w:rPr>
      </w:pPr>
      <w:r w:rsidRPr="00551458">
        <w:rPr>
          <w:szCs w:val="23"/>
        </w:rPr>
        <w:t>Ministrijas un citas centrālās valsts iestādes to izpildē esošajām budžeta programmām un apakšprogrammām izvirza noteiktu mērķi ar tā sasniegšanas pakāpi raksturojošiem darbības rezultātiem un to rezultatīvajiem rādītājiem, kuriem tiek plānotas tendences arī vidējā termiņā un vienlaikus atspoguļota vēsturiskā informācija trīs gadu periodam.</w:t>
      </w:r>
    </w:p>
    <w:p w14:paraId="6513DF1B" w14:textId="77777777" w:rsidR="00232B17" w:rsidRPr="00551458" w:rsidRDefault="00232B17" w:rsidP="00551458">
      <w:pPr>
        <w:pStyle w:val="Default"/>
        <w:spacing w:after="60"/>
        <w:ind w:firstLine="720"/>
        <w:jc w:val="both"/>
        <w:rPr>
          <w:color w:val="auto"/>
          <w:szCs w:val="23"/>
        </w:rPr>
      </w:pPr>
      <w:r w:rsidRPr="00551458">
        <w:rPr>
          <w:color w:val="auto"/>
          <w:szCs w:val="23"/>
        </w:rPr>
        <w:t xml:space="preserve">Sagatavojot pārskatu par valsts budžeta izpildes analīzi ministrijas un citas centrālās valsts iestādes sniedz skaidrojumus par iepriekš plānotajiem darbības rezultātiem un to rezultatīvajiem rādītājiem, to izpildi gada laikā, kā arī par rezultatīvo rādītāju vērtību izpildes novirzēm no plānotajām rezultatīvo rādītāju vērtībām, kas pārsniedz 15 procentus (gan pozitīvā, gan negatīvā nozīmē). </w:t>
      </w:r>
      <w:r w:rsidR="006042AA">
        <w:rPr>
          <w:color w:val="auto"/>
          <w:szCs w:val="23"/>
        </w:rPr>
        <w:t>FM</w:t>
      </w:r>
      <w:r w:rsidRPr="00551458">
        <w:rPr>
          <w:color w:val="auto"/>
          <w:szCs w:val="23"/>
        </w:rPr>
        <w:t xml:space="preserve"> apkopo, izvērtē un nodrošina valsts budžeta programmu (apakšprogrammu) darbības rezultātu un to rezultatīvo rādītāju uzkrāšanu. </w:t>
      </w:r>
    </w:p>
    <w:p w14:paraId="46630233" w14:textId="77777777" w:rsidR="00232B17" w:rsidRPr="00551458" w:rsidRDefault="00232B17" w:rsidP="00551458">
      <w:pPr>
        <w:pStyle w:val="Default"/>
        <w:spacing w:after="60"/>
        <w:ind w:firstLine="720"/>
        <w:jc w:val="both"/>
        <w:rPr>
          <w:color w:val="auto"/>
          <w:szCs w:val="23"/>
        </w:rPr>
      </w:pPr>
      <w:r w:rsidRPr="00551458">
        <w:rPr>
          <w:color w:val="auto"/>
          <w:szCs w:val="23"/>
        </w:rPr>
        <w:t xml:space="preserve">Saskaņā ar 2012.gada 31.jūlija MK noteikumiem Nr.523 “Noteikumi par budžeta pieprasījumu izstrādāšanas un iesniegšanas pamatprincipiem” budžeta programmu struktūra tiek noteikta atbilstoši institūcijas darbības stratēģijā definētajiem darbības (rīcības) virzieniem vai atbilstoši ministrijas vai citas centrālās valsts iestādes nolikumā noteiktajām funkcijām. </w:t>
      </w:r>
    </w:p>
    <w:p w14:paraId="5F582DE0" w14:textId="77777777" w:rsidR="00232B17" w:rsidRPr="00551458" w:rsidRDefault="00232B17" w:rsidP="00551458">
      <w:pPr>
        <w:pStyle w:val="Default"/>
        <w:spacing w:after="60"/>
        <w:ind w:firstLine="720"/>
        <w:jc w:val="both"/>
        <w:rPr>
          <w:color w:val="auto"/>
          <w:szCs w:val="23"/>
        </w:rPr>
      </w:pPr>
      <w:r w:rsidRPr="00551458">
        <w:rPr>
          <w:color w:val="auto"/>
          <w:szCs w:val="23"/>
        </w:rPr>
        <w:t xml:space="preserve">Politikas rezultātus primāri plāno attīstības plānošanas dokumentos. Par politikas plānošanas dokumentiem tiek sagatavoti pārskata dokumenti informatīvo ziņojumu veidā gan politikas plānošanas dokumenta ieviešanas vidus posmā, gan arī pēc tā darbības termiņa beigām. </w:t>
      </w:r>
    </w:p>
    <w:p w14:paraId="54E4D1ED" w14:textId="77777777" w:rsidR="00232B17" w:rsidRPr="00551458" w:rsidRDefault="00232B17" w:rsidP="00551458">
      <w:pPr>
        <w:pStyle w:val="Default"/>
        <w:spacing w:after="60"/>
        <w:ind w:firstLine="720"/>
        <w:jc w:val="both"/>
        <w:rPr>
          <w:color w:val="auto"/>
          <w:szCs w:val="23"/>
        </w:rPr>
      </w:pPr>
      <w:r w:rsidRPr="00551458">
        <w:rPr>
          <w:color w:val="auto"/>
          <w:szCs w:val="23"/>
        </w:rPr>
        <w:t xml:space="preserve">VK piešķir asignējumus izdevumiem saskaņā ar gadskārtējā valsts budžeta likumā noteikto apropriāciju un nodrošina to izpildi MK noteiktajā kārtībā, savukārt ministrijas un citas centrālās valsts iestādes ir atbildīgas par gadskārtējā valsts budžeta likumā noteiktās apropriācijas izpildes kontroles sistēmas izveidi un par VK norēķinu kontos ieskaitīto valsts budžeta līdzekļu izlietojuma kontroli atbilstoši paredzētajiem mērķiem. </w:t>
      </w:r>
    </w:p>
    <w:p w14:paraId="69564BFC" w14:textId="77777777" w:rsidR="00232B17" w:rsidRPr="00551458" w:rsidRDefault="00232B17" w:rsidP="00551458">
      <w:pPr>
        <w:pStyle w:val="Default"/>
        <w:spacing w:after="60"/>
        <w:ind w:firstLine="720"/>
        <w:jc w:val="both"/>
        <w:rPr>
          <w:color w:val="auto"/>
          <w:szCs w:val="23"/>
        </w:rPr>
      </w:pPr>
      <w:r w:rsidRPr="00551458">
        <w:rPr>
          <w:color w:val="auto"/>
          <w:szCs w:val="23"/>
        </w:rPr>
        <w:t>Bez tam LBFV ir noteikts, ka valsts budžeta iestādes asignējumu saņemšanai un izdevumu veikšanai no valsts budžeta līdzekļiem atver valsts pamatbudžeta un valsts speciālā budžeta kontus tikai VK. Budžeta nefinansētas iestādes atver norēķinu kontus tikai VK.</w:t>
      </w:r>
    </w:p>
    <w:p w14:paraId="2EADE90D" w14:textId="77777777" w:rsidR="00232B17" w:rsidRPr="00551458" w:rsidRDefault="00232B17" w:rsidP="00551458">
      <w:pPr>
        <w:pStyle w:val="Default"/>
        <w:spacing w:after="60"/>
        <w:ind w:firstLine="720"/>
        <w:jc w:val="both"/>
        <w:rPr>
          <w:color w:val="auto"/>
          <w:szCs w:val="23"/>
        </w:rPr>
      </w:pPr>
      <w:r w:rsidRPr="00551458">
        <w:rPr>
          <w:color w:val="auto"/>
          <w:szCs w:val="23"/>
        </w:rPr>
        <w:t>Valsts budžeta līdzekļu saņemšanai un no tiem finansēto izdevumu izdarīšanai budžeta finansētas institūcijas (izņemot valsts budžeta iestādes) atver norēķinu kontus tikai VK, ja citos normatīvajos aktos nav noteikts citādi. Pašvaldības un no valsts budžeta daļēji finansētas atvasinātas publiskas personas, kā arī kapitālsabiedrības, kurās ieguldīta valsts vai pašvaldību kapitāla daļa, var atvērt norēķinu kontus VK.</w:t>
      </w:r>
    </w:p>
    <w:p w14:paraId="60D25DC7" w14:textId="77777777" w:rsidR="00232B17" w:rsidRPr="00551458" w:rsidRDefault="00232B17" w:rsidP="00551458">
      <w:pPr>
        <w:pStyle w:val="Default"/>
        <w:spacing w:after="60"/>
        <w:ind w:firstLine="720"/>
        <w:jc w:val="both"/>
        <w:rPr>
          <w:color w:val="auto"/>
          <w:szCs w:val="23"/>
        </w:rPr>
      </w:pPr>
      <w:r w:rsidRPr="00551458">
        <w:rPr>
          <w:color w:val="auto"/>
          <w:szCs w:val="23"/>
        </w:rPr>
        <w:t>Lai stiprinātu līdzekļu izlietojuma kontroles iespējas, LBFV ir ietverta norma, kas nosaka, ka finanšu ministrs var aizkavēt vai samazināt asignējumu uz laiku līdz trim mēnešiem, dodot rīkojumu par to VK, ja pastāv vismaz viens no šādiem nosacījumiem:</w:t>
      </w:r>
    </w:p>
    <w:p w14:paraId="01649521" w14:textId="77777777" w:rsidR="00232B17" w:rsidRPr="00551458" w:rsidRDefault="00232B17" w:rsidP="00551458">
      <w:pPr>
        <w:pStyle w:val="Default"/>
        <w:numPr>
          <w:ilvl w:val="0"/>
          <w:numId w:val="4"/>
        </w:numPr>
        <w:spacing w:after="60"/>
        <w:ind w:left="1418" w:hanging="284"/>
        <w:jc w:val="both"/>
        <w:rPr>
          <w:color w:val="auto"/>
          <w:szCs w:val="23"/>
        </w:rPr>
      </w:pPr>
      <w:r w:rsidRPr="00551458">
        <w:rPr>
          <w:color w:val="auto"/>
          <w:szCs w:val="23"/>
        </w:rPr>
        <w:t xml:space="preserve">triju mēnešu periodā valsts budžeta nodokļu un nenodokļu faktiskie ieņēmumi attiecībā pret attiecīgajā periodā paredzētajiem ieņēmumiem samazinās vairāk nekā par 0,5 </w:t>
      </w:r>
      <w:r w:rsidR="006042AA">
        <w:rPr>
          <w:color w:val="auto"/>
          <w:szCs w:val="23"/>
        </w:rPr>
        <w:t>%</w:t>
      </w:r>
      <w:r w:rsidRPr="00551458">
        <w:rPr>
          <w:color w:val="auto"/>
          <w:szCs w:val="23"/>
        </w:rPr>
        <w:t xml:space="preserve"> no gadskārtējā valsts budžeta likumā noteiktās IKP prognozes;</w:t>
      </w:r>
    </w:p>
    <w:p w14:paraId="0AB9D3CE" w14:textId="77777777" w:rsidR="00232B17" w:rsidRPr="00551458" w:rsidRDefault="00232B17" w:rsidP="00551458">
      <w:pPr>
        <w:pStyle w:val="Default"/>
        <w:numPr>
          <w:ilvl w:val="0"/>
          <w:numId w:val="4"/>
        </w:numPr>
        <w:spacing w:after="60"/>
        <w:ind w:left="1418" w:hanging="284"/>
        <w:jc w:val="both"/>
        <w:rPr>
          <w:color w:val="auto"/>
          <w:szCs w:val="23"/>
        </w:rPr>
      </w:pPr>
      <w:r w:rsidRPr="00551458">
        <w:rPr>
          <w:color w:val="auto"/>
          <w:szCs w:val="23"/>
        </w:rPr>
        <w:t xml:space="preserve">faktiskais uzkrātais valsts budžeta finansiālais deficīts triju mēnešu periodā pārsniedz attiecīgajam periodam paredzēto valsts budžeta finansiālo deficītu vairāk nekā par 0,5 </w:t>
      </w:r>
      <w:r w:rsidR="006042AA">
        <w:rPr>
          <w:color w:val="auto"/>
          <w:szCs w:val="23"/>
        </w:rPr>
        <w:t>%</w:t>
      </w:r>
      <w:r w:rsidRPr="00551458">
        <w:rPr>
          <w:color w:val="auto"/>
          <w:szCs w:val="23"/>
        </w:rPr>
        <w:t xml:space="preserve"> no gadskārtējā valsts budžeta likumā noteiktās IKP prognozes;</w:t>
      </w:r>
    </w:p>
    <w:p w14:paraId="15FF3DE3" w14:textId="77777777" w:rsidR="00232B17" w:rsidRPr="00551458" w:rsidRDefault="00232B17" w:rsidP="00551458">
      <w:pPr>
        <w:pStyle w:val="Default"/>
        <w:numPr>
          <w:ilvl w:val="0"/>
          <w:numId w:val="4"/>
        </w:numPr>
        <w:spacing w:after="60"/>
        <w:ind w:left="1418" w:hanging="284"/>
        <w:jc w:val="both"/>
        <w:rPr>
          <w:color w:val="auto"/>
          <w:szCs w:val="23"/>
        </w:rPr>
      </w:pPr>
      <w:r w:rsidRPr="00551458">
        <w:rPr>
          <w:color w:val="auto"/>
          <w:szCs w:val="23"/>
        </w:rPr>
        <w:t xml:space="preserve">ja VK budžeta kontos nav pietiekama līdzekļu apjoma, lai segtu nākamajam mēnesim plānotās maksājumu saistības. </w:t>
      </w:r>
    </w:p>
    <w:p w14:paraId="7BF5E758" w14:textId="77777777" w:rsidR="00232B17" w:rsidRPr="00551458" w:rsidRDefault="00232B17" w:rsidP="00551458">
      <w:pPr>
        <w:pStyle w:val="Default"/>
        <w:spacing w:after="60"/>
        <w:jc w:val="both"/>
        <w:rPr>
          <w:color w:val="auto"/>
          <w:szCs w:val="23"/>
        </w:rPr>
      </w:pPr>
      <w:r w:rsidRPr="00551458">
        <w:rPr>
          <w:color w:val="auto"/>
          <w:szCs w:val="23"/>
        </w:rPr>
        <w:t>Galvenās LBFV noteiktās sankcijas par neatbilstošu rīcību ar budžeta līdzekļiem:</w:t>
      </w:r>
    </w:p>
    <w:p w14:paraId="23B9142B" w14:textId="77777777" w:rsidR="00232B17" w:rsidRPr="00551458" w:rsidRDefault="00232B17" w:rsidP="00551458">
      <w:pPr>
        <w:pStyle w:val="Default"/>
        <w:numPr>
          <w:ilvl w:val="0"/>
          <w:numId w:val="5"/>
        </w:numPr>
        <w:spacing w:after="60"/>
        <w:ind w:left="1418" w:hanging="284"/>
        <w:jc w:val="both"/>
        <w:rPr>
          <w:color w:val="auto"/>
          <w:szCs w:val="23"/>
        </w:rPr>
      </w:pPr>
      <w:r w:rsidRPr="00551458">
        <w:rPr>
          <w:color w:val="auto"/>
          <w:szCs w:val="23"/>
        </w:rPr>
        <w:t>par valsts budžetam pienākošos summu nesavlaicīgu vai nepilnīgu iemaksu VK budžeta kontos – VK (ja tas nav paredzēts citas valsts institūcijas kompetencē) piedzen iemaksāšanai pamatbudžeta ieņēmumos neiemaksāto summu un var piedzīt nokavējuma naudu 0,1 % apmērā no laikā nenomaksātās summas par katru nokavēto maksājuma dienu, ja normatīvajos aktos nav noteikta cita kārtība;</w:t>
      </w:r>
    </w:p>
    <w:p w14:paraId="0E4774CA" w14:textId="77777777" w:rsidR="00232B17" w:rsidRPr="00551458" w:rsidRDefault="00232B17" w:rsidP="00551458">
      <w:pPr>
        <w:pStyle w:val="Default"/>
        <w:numPr>
          <w:ilvl w:val="0"/>
          <w:numId w:val="5"/>
        </w:numPr>
        <w:spacing w:after="60"/>
        <w:ind w:left="1418" w:hanging="284"/>
        <w:jc w:val="both"/>
        <w:rPr>
          <w:color w:val="auto"/>
          <w:szCs w:val="23"/>
        </w:rPr>
      </w:pPr>
      <w:r w:rsidRPr="00551458">
        <w:rPr>
          <w:color w:val="auto"/>
          <w:szCs w:val="23"/>
        </w:rPr>
        <w:t xml:space="preserve">ja jāsedz budžetam radušies zaudējumi – VK var ieskaitīt summas pamatbudžeta ieņēmumos, atsaukt vai apturēt asignējumus, ja nav laikā iesniegti vai ir nepilnīgi ziņojumi par budžetu un finanšu vadību, ja likumā noteiktajā kārtībā nav reģistrēti budžeta līdzekļi un darījumi ar šiem līdzekļiem, kā arī nav ziņots par tiem, ja uzskaite neatbilst noteiktajai kārtībai un tādējādi tiek slēpti budžetam </w:t>
      </w:r>
      <w:r w:rsidR="006042AA">
        <w:rPr>
          <w:color w:val="auto"/>
          <w:szCs w:val="23"/>
        </w:rPr>
        <w:t>pienākošie</w:t>
      </w:r>
      <w:r w:rsidRPr="00551458">
        <w:rPr>
          <w:color w:val="auto"/>
          <w:szCs w:val="23"/>
        </w:rPr>
        <w:t xml:space="preserve"> līdzekļi, kā arī, ja budžeta finansētas institūcijas vadītājs ir uzņēmies saistības, pārsniedzot VK sniegto asignējumu;</w:t>
      </w:r>
    </w:p>
    <w:p w14:paraId="66582194" w14:textId="77777777" w:rsidR="00232B17" w:rsidRPr="00551458" w:rsidRDefault="00232B17" w:rsidP="00551458">
      <w:pPr>
        <w:pStyle w:val="Default"/>
        <w:numPr>
          <w:ilvl w:val="0"/>
          <w:numId w:val="5"/>
        </w:numPr>
        <w:spacing w:after="60"/>
        <w:ind w:left="1418" w:hanging="284"/>
        <w:jc w:val="both"/>
        <w:rPr>
          <w:color w:val="auto"/>
          <w:szCs w:val="23"/>
        </w:rPr>
      </w:pPr>
      <w:r w:rsidRPr="00551458">
        <w:rPr>
          <w:color w:val="auto"/>
          <w:szCs w:val="23"/>
        </w:rPr>
        <w:t>ja budžeta finansētas institūcijas, budžeta nefinansētas iestādes un pašvaldības, kā arī kapitālsabiedrības, kurās ir ieguldīta valsts vai pašvaldību kapitāla daļa, ir pārkāpušas LBFV paredzētos finanšu vadības noteikumus, finanšu ministrs, VK pārvaldnieks, ministriju un citu centrālo valsts iestāžu vadītāji (atbilstoši savai kompetencei) var uz laiku atņemt pilnvarojumu asignēt vai rīkot budžeta ieņēmumus vai izdevumus, noteikt kontu lietošanas ierobežojumus, atsaukt vai apturēt asignējumus, lai tiktu atlīdzināti nelikumīgi izlietotie līdzekļi, vai arī pieprasīt nelikumīgi izlietoto līdzekļu atmaksāšanu, iesniegt tiesā civilprasību vai nodot materiālus kompetentajām amatpersonām jautājuma par kriminālprocesa uzsākšanu izlemšanai, kā arī atsaukt vai apturēt maksājumus;</w:t>
      </w:r>
    </w:p>
    <w:p w14:paraId="5E0D0D72" w14:textId="77777777" w:rsidR="00232B17" w:rsidRPr="00551458" w:rsidRDefault="00232B17" w:rsidP="00551458">
      <w:pPr>
        <w:pStyle w:val="Default"/>
        <w:numPr>
          <w:ilvl w:val="0"/>
          <w:numId w:val="5"/>
        </w:numPr>
        <w:spacing w:after="60"/>
        <w:ind w:left="1418" w:hanging="284"/>
        <w:jc w:val="both"/>
        <w:rPr>
          <w:color w:val="auto"/>
          <w:szCs w:val="23"/>
        </w:rPr>
      </w:pPr>
      <w:r w:rsidRPr="00551458">
        <w:rPr>
          <w:color w:val="auto"/>
          <w:szCs w:val="23"/>
        </w:rPr>
        <w:t xml:space="preserve">VK, atbilstoši likumam „Par pašvaldību finanšu izlīdzināšanu” ir tiesības bezstrīdus kārtībā piedzīt no pašvaldības budžeta līdzekļiem naudas summas, ko attiecīgā pašvaldība nav savlaicīgi vai pilnā apmērā ieskaitījusi pašvaldību finanšu izlīdzināšanas fondā, norakstot šīs summas no attiecīgās pašvaldības budžeta. </w:t>
      </w:r>
    </w:p>
    <w:p w14:paraId="35C9B0B9" w14:textId="77777777" w:rsidR="00232B17" w:rsidRPr="00551458" w:rsidRDefault="00232B17" w:rsidP="00551458">
      <w:pPr>
        <w:pStyle w:val="Default"/>
        <w:spacing w:after="60"/>
        <w:ind w:firstLine="720"/>
        <w:jc w:val="both"/>
        <w:rPr>
          <w:color w:val="auto"/>
          <w:szCs w:val="23"/>
        </w:rPr>
      </w:pPr>
      <w:r w:rsidRPr="00551458">
        <w:rPr>
          <w:color w:val="auto"/>
          <w:szCs w:val="23"/>
        </w:rPr>
        <w:t>Lai saglabātu vispārējo ekonomisko līdzsvaru un nodrošinātu vienotu valsts finansiālo politiku, gadskārtējā valsts budžeta likumā atsevišķi tiek noteikti pašvaldību aizņēmumu un galvojumu kopējā palielinājuma apjomi. No summas, kas pašvaldībai pienākas no iedzīvotāju ienākuma nodokļa, vai no pašvaldību finanšu izlīdzināšanas fonda dotācijas VK ir tiesības ieturēt summas šādos gadījumos un šādā apmērā:</w:t>
      </w:r>
    </w:p>
    <w:p w14:paraId="158D68AD" w14:textId="77777777" w:rsidR="00232B17" w:rsidRPr="00551458" w:rsidRDefault="00232B17" w:rsidP="00551458">
      <w:pPr>
        <w:pStyle w:val="Default"/>
        <w:numPr>
          <w:ilvl w:val="0"/>
          <w:numId w:val="6"/>
        </w:numPr>
        <w:spacing w:after="60"/>
        <w:jc w:val="both"/>
        <w:rPr>
          <w:color w:val="auto"/>
          <w:szCs w:val="23"/>
        </w:rPr>
      </w:pPr>
      <w:r w:rsidRPr="00551458">
        <w:rPr>
          <w:color w:val="auto"/>
          <w:szCs w:val="23"/>
        </w:rPr>
        <w:t xml:space="preserve">ja pašvaldība nenodrošina valsts aizdevumu līgumos noteikto saistību savlaicīgu izpildi – savlaicīgi nesamaksātās summas apmērā; </w:t>
      </w:r>
    </w:p>
    <w:p w14:paraId="6CF5628D" w14:textId="77777777" w:rsidR="00232B17" w:rsidRPr="00551458" w:rsidRDefault="00232B17" w:rsidP="00551458">
      <w:pPr>
        <w:pStyle w:val="Default"/>
        <w:numPr>
          <w:ilvl w:val="0"/>
          <w:numId w:val="6"/>
        </w:numPr>
        <w:spacing w:after="60"/>
        <w:jc w:val="both"/>
        <w:rPr>
          <w:color w:val="auto"/>
          <w:szCs w:val="23"/>
        </w:rPr>
      </w:pPr>
      <w:r w:rsidRPr="00551458">
        <w:rPr>
          <w:color w:val="auto"/>
          <w:szCs w:val="23"/>
        </w:rPr>
        <w:t>ja pašvaldība nenodrošina valsts aizdevuma izmantošanu atbilstoši aizdevumu līgumā noteiktajam mērķim – pēc finanšu ministra rīkojuma neatbilstoši līgumā noteiktajam mērķim izmantotās aizdevuma summas apmērā.</w:t>
      </w:r>
    </w:p>
    <w:p w14:paraId="1CD2B3C9" w14:textId="77777777" w:rsidR="00A34463" w:rsidRDefault="00232B17" w:rsidP="003666E9">
      <w:pPr>
        <w:pStyle w:val="Default"/>
        <w:tabs>
          <w:tab w:val="left" w:pos="851"/>
        </w:tabs>
        <w:spacing w:after="60"/>
        <w:ind w:firstLine="720"/>
        <w:jc w:val="both"/>
        <w:rPr>
          <w:color w:val="auto"/>
          <w:szCs w:val="23"/>
        </w:rPr>
      </w:pPr>
      <w:r w:rsidRPr="00551458">
        <w:rPr>
          <w:color w:val="auto"/>
          <w:szCs w:val="23"/>
        </w:rPr>
        <w:t xml:space="preserve">Tāpat LBFV paredz, ka MK reglamentē kārtību, kādā valsts budžeta iestādes piešķir valsts budžeta finansējumu privātpersonām, tai skaitā, nevalstiskajām organizācijām valsts pārvaldes uzdevumu veikšanai un uzrauga piešķirtā finansējuma izlietojumu. Tādējādi ir ieviesti vienoti principi valsts pārvaldes deleģēto uzdevumu finansēšanai, izlietotā finansējuma kontrolei, atskaitīšanās par izlietoto valsts budžeta finansējumu kārtībai, kā arī minētā procesa publicitātes nodrošināšanai. </w:t>
      </w:r>
    </w:p>
    <w:p w14:paraId="48A4BD2C" w14:textId="77777777" w:rsidR="00A24A4C" w:rsidRPr="00F51615" w:rsidRDefault="00A24A4C" w:rsidP="003666E9">
      <w:pPr>
        <w:pStyle w:val="Default"/>
        <w:tabs>
          <w:tab w:val="left" w:pos="851"/>
        </w:tabs>
        <w:spacing w:after="60"/>
        <w:ind w:firstLine="720"/>
        <w:jc w:val="both"/>
        <w:rPr>
          <w:rFonts w:eastAsiaTheme="majorEastAsia"/>
          <w:b/>
          <w:bCs/>
          <w:smallCaps/>
          <w:color w:val="000000" w:themeColor="text1"/>
          <w:szCs w:val="28"/>
        </w:rPr>
      </w:pPr>
    </w:p>
    <w:p w14:paraId="5A47E389" w14:textId="77777777" w:rsidR="00A34463" w:rsidRDefault="00A34463" w:rsidP="00A24A4C">
      <w:pPr>
        <w:pStyle w:val="Heading2"/>
        <w:numPr>
          <w:ilvl w:val="1"/>
          <w:numId w:val="1"/>
        </w:numPr>
        <w:spacing w:after="120"/>
        <w:ind w:left="709"/>
        <w:rPr>
          <w:rFonts w:ascii="Times New Roman" w:hAnsi="Times New Roman" w:cs="Times New Roman"/>
          <w:sz w:val="24"/>
        </w:rPr>
      </w:pPr>
      <w:bookmarkStart w:id="17" w:name="_Toc416279078"/>
      <w:r w:rsidRPr="00F51615">
        <w:rPr>
          <w:rFonts w:ascii="Times New Roman" w:hAnsi="Times New Roman" w:cs="Times New Roman"/>
          <w:sz w:val="24"/>
        </w:rPr>
        <w:t>Ieņēmumu struktūras un sistēmas efektivitāte</w:t>
      </w:r>
      <w:bookmarkEnd w:id="17"/>
    </w:p>
    <w:p w14:paraId="12F0DD7B" w14:textId="77777777" w:rsidR="000144E7" w:rsidRDefault="000144E7" w:rsidP="000144E7">
      <w:pPr>
        <w:spacing w:after="60" w:line="240" w:lineRule="auto"/>
        <w:ind w:firstLine="567"/>
        <w:jc w:val="both"/>
        <w:rPr>
          <w:rFonts w:ascii="Times New Roman" w:hAnsi="Times New Roman" w:cs="Times New Roman"/>
          <w:sz w:val="24"/>
        </w:rPr>
      </w:pPr>
      <w:r w:rsidRPr="000144E7">
        <w:rPr>
          <w:rFonts w:ascii="Times New Roman" w:hAnsi="Times New Roman" w:cs="Times New Roman"/>
          <w:sz w:val="24"/>
        </w:rPr>
        <w:t>Viens no būtiskiem valsts finanšu kvalitātes aspektiem ir stabilu un prognozējamu nodokļu ieņēmumu nodrošināšana budžetā valdības prioritāro sociālo un ekonomisko pasākumu finansēšanai.</w:t>
      </w:r>
    </w:p>
    <w:p w14:paraId="4BDD861D" w14:textId="77777777" w:rsidR="001F01DA" w:rsidRDefault="001F01DA">
      <w:pPr>
        <w:rPr>
          <w:rFonts w:ascii="Times New Roman" w:eastAsia="Times New Roman" w:hAnsi="Times New Roman" w:cs="Times New Roman"/>
          <w:b/>
          <w:sz w:val="24"/>
          <w:szCs w:val="20"/>
        </w:rPr>
      </w:pPr>
      <w:r>
        <w:rPr>
          <w:rFonts w:ascii="Times New Roman" w:hAnsi="Times New Roman"/>
        </w:rPr>
        <w:br w:type="page"/>
      </w:r>
    </w:p>
    <w:p w14:paraId="3D6D81F0" w14:textId="0894B482" w:rsidR="000144E7" w:rsidRPr="00A548D6" w:rsidRDefault="00142A2C" w:rsidP="00142A2C">
      <w:pPr>
        <w:pStyle w:val="T"/>
        <w:spacing w:before="120"/>
        <w:jc w:val="right"/>
        <w:rPr>
          <w:rFonts w:ascii="Times New Roman" w:hAnsi="Times New Roman"/>
        </w:rPr>
      </w:pPr>
      <w:r>
        <w:rPr>
          <w:rFonts w:ascii="Times New Roman" w:hAnsi="Times New Roman"/>
        </w:rPr>
        <w:t>6.1.</w:t>
      </w:r>
      <w:r w:rsidR="000144E7" w:rsidRPr="00A548D6">
        <w:rPr>
          <w:rFonts w:ascii="Times New Roman" w:hAnsi="Times New Roman"/>
        </w:rPr>
        <w:t>tabula. Nodokļu ieņēmumi vispārējās valdības budžetā (S.13), milj. </w:t>
      </w:r>
      <w:r w:rsidR="000144E7" w:rsidRPr="00A548D6">
        <w:rPr>
          <w:rFonts w:ascii="Times New Roman" w:hAnsi="Times New Roman"/>
          <w:i/>
        </w:rPr>
        <w:t>euro</w:t>
      </w:r>
    </w:p>
    <w:tbl>
      <w:tblPr>
        <w:tblStyle w:val="GridTable6ColorfulAccent1"/>
        <w:tblW w:w="9341" w:type="dxa"/>
        <w:jc w:val="center"/>
        <w:tblLayout w:type="fixed"/>
        <w:tblLook w:val="04A0" w:firstRow="1" w:lastRow="0" w:firstColumn="1" w:lastColumn="0" w:noHBand="0" w:noVBand="1"/>
      </w:tblPr>
      <w:tblGrid>
        <w:gridCol w:w="3463"/>
        <w:gridCol w:w="992"/>
        <w:gridCol w:w="969"/>
        <w:gridCol w:w="968"/>
        <w:gridCol w:w="969"/>
        <w:gridCol w:w="969"/>
        <w:gridCol w:w="1011"/>
      </w:tblGrid>
      <w:tr w:rsidR="002C10FB" w:rsidRPr="002C10FB" w14:paraId="65647787" w14:textId="77777777" w:rsidTr="008055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3" w:type="dxa"/>
          </w:tcPr>
          <w:p w14:paraId="2D1EAE41" w14:textId="77777777" w:rsidR="000144E7" w:rsidRPr="002C10FB" w:rsidRDefault="000144E7" w:rsidP="00E773FD">
            <w:pPr>
              <w:pStyle w:val="tabteksts"/>
              <w:rPr>
                <w:color w:val="auto"/>
              </w:rPr>
            </w:pPr>
          </w:p>
        </w:tc>
        <w:tc>
          <w:tcPr>
            <w:tcW w:w="992" w:type="dxa"/>
            <w:vAlign w:val="center"/>
          </w:tcPr>
          <w:p w14:paraId="0D0FB3D5" w14:textId="77777777" w:rsidR="000144E7" w:rsidRPr="002C10FB" w:rsidRDefault="000144E7" w:rsidP="002C10FB">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2C10FB">
              <w:rPr>
                <w:color w:val="auto"/>
              </w:rPr>
              <w:t>Kods (EKS)</w:t>
            </w:r>
          </w:p>
        </w:tc>
        <w:tc>
          <w:tcPr>
            <w:tcW w:w="969" w:type="dxa"/>
            <w:vAlign w:val="center"/>
          </w:tcPr>
          <w:p w14:paraId="2E72990B" w14:textId="77777777" w:rsidR="000144E7" w:rsidRPr="002C10FB" w:rsidRDefault="000144E7" w:rsidP="002C10FB">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2C10FB">
              <w:rPr>
                <w:color w:val="auto"/>
              </w:rPr>
              <w:t>2014</w:t>
            </w:r>
          </w:p>
        </w:tc>
        <w:tc>
          <w:tcPr>
            <w:tcW w:w="968" w:type="dxa"/>
            <w:vAlign w:val="center"/>
          </w:tcPr>
          <w:p w14:paraId="7D660A57" w14:textId="77777777" w:rsidR="000144E7" w:rsidRPr="002C10FB" w:rsidRDefault="000144E7" w:rsidP="002C10FB">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2C10FB">
              <w:rPr>
                <w:color w:val="auto"/>
              </w:rPr>
              <w:t>2015</w:t>
            </w:r>
          </w:p>
        </w:tc>
        <w:tc>
          <w:tcPr>
            <w:tcW w:w="969" w:type="dxa"/>
            <w:vAlign w:val="center"/>
          </w:tcPr>
          <w:p w14:paraId="4EA7B985" w14:textId="77777777" w:rsidR="000144E7" w:rsidRPr="002C10FB" w:rsidRDefault="000144E7" w:rsidP="002C10FB">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2C10FB">
              <w:rPr>
                <w:color w:val="auto"/>
              </w:rPr>
              <w:t>2016</w:t>
            </w:r>
          </w:p>
        </w:tc>
        <w:tc>
          <w:tcPr>
            <w:tcW w:w="969" w:type="dxa"/>
            <w:vAlign w:val="center"/>
          </w:tcPr>
          <w:p w14:paraId="1384FE5B" w14:textId="77777777" w:rsidR="000144E7" w:rsidRPr="002C10FB" w:rsidRDefault="000144E7" w:rsidP="002C10FB">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2C10FB">
              <w:rPr>
                <w:color w:val="auto"/>
              </w:rPr>
              <w:t>2017</w:t>
            </w:r>
          </w:p>
        </w:tc>
        <w:tc>
          <w:tcPr>
            <w:tcW w:w="1011" w:type="dxa"/>
            <w:vAlign w:val="center"/>
          </w:tcPr>
          <w:p w14:paraId="701EB722" w14:textId="77777777" w:rsidR="000144E7" w:rsidRPr="002C10FB" w:rsidRDefault="000144E7" w:rsidP="002C10FB">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2C10FB">
              <w:rPr>
                <w:color w:val="auto"/>
              </w:rPr>
              <w:t>2018</w:t>
            </w:r>
          </w:p>
        </w:tc>
      </w:tr>
      <w:tr w:rsidR="002C10FB" w:rsidRPr="002C10FB" w14:paraId="47222CA3" w14:textId="77777777" w:rsidTr="0080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3" w:type="dxa"/>
          </w:tcPr>
          <w:p w14:paraId="5A4A70B3" w14:textId="77777777" w:rsidR="000144E7" w:rsidRPr="002C10FB" w:rsidRDefault="000144E7" w:rsidP="00E773FD">
            <w:pPr>
              <w:pStyle w:val="tabteksts"/>
              <w:rPr>
                <w:b w:val="0"/>
                <w:color w:val="auto"/>
              </w:rPr>
            </w:pPr>
            <w:r w:rsidRPr="002C10FB">
              <w:rPr>
                <w:b w:val="0"/>
                <w:color w:val="auto"/>
              </w:rPr>
              <w:t>Nodokļu ieņēmumi</w:t>
            </w:r>
          </w:p>
        </w:tc>
        <w:tc>
          <w:tcPr>
            <w:tcW w:w="992" w:type="dxa"/>
          </w:tcPr>
          <w:p w14:paraId="74D26A20" w14:textId="77777777" w:rsidR="000144E7" w:rsidRPr="002C10FB" w:rsidRDefault="000144E7" w:rsidP="00E773FD">
            <w:pPr>
              <w:pStyle w:val="tabteksts"/>
              <w:cnfStyle w:val="000000100000" w:firstRow="0" w:lastRow="0" w:firstColumn="0" w:lastColumn="0" w:oddVBand="0" w:evenVBand="0" w:oddHBand="1" w:evenHBand="0" w:firstRowFirstColumn="0" w:firstRowLastColumn="0" w:lastRowFirstColumn="0" w:lastRowLastColumn="0"/>
              <w:rPr>
                <w:b/>
                <w:color w:val="auto"/>
              </w:rPr>
            </w:pPr>
          </w:p>
        </w:tc>
        <w:tc>
          <w:tcPr>
            <w:tcW w:w="969" w:type="dxa"/>
          </w:tcPr>
          <w:p w14:paraId="473E4B6E" w14:textId="77777777" w:rsidR="000144E7" w:rsidRPr="002C10FB" w:rsidRDefault="000144E7" w:rsidP="00E773FD">
            <w:pPr>
              <w:pStyle w:val="tabteksts"/>
              <w:tabs>
                <w:tab w:val="decimal" w:pos="483"/>
              </w:tabs>
              <w:cnfStyle w:val="000000100000" w:firstRow="0" w:lastRow="0" w:firstColumn="0" w:lastColumn="0" w:oddVBand="0" w:evenVBand="0" w:oddHBand="1" w:evenHBand="0" w:firstRowFirstColumn="0" w:firstRowLastColumn="0" w:lastRowFirstColumn="0" w:lastRowLastColumn="0"/>
              <w:rPr>
                <w:b/>
                <w:color w:val="auto"/>
              </w:rPr>
            </w:pPr>
          </w:p>
        </w:tc>
        <w:tc>
          <w:tcPr>
            <w:tcW w:w="968" w:type="dxa"/>
          </w:tcPr>
          <w:p w14:paraId="3BE093E7" w14:textId="77777777" w:rsidR="000144E7" w:rsidRPr="002C10FB" w:rsidRDefault="000144E7" w:rsidP="00E773FD">
            <w:pPr>
              <w:pStyle w:val="tabteksts"/>
              <w:tabs>
                <w:tab w:val="decimal" w:pos="483"/>
              </w:tabs>
              <w:cnfStyle w:val="000000100000" w:firstRow="0" w:lastRow="0" w:firstColumn="0" w:lastColumn="0" w:oddVBand="0" w:evenVBand="0" w:oddHBand="1" w:evenHBand="0" w:firstRowFirstColumn="0" w:firstRowLastColumn="0" w:lastRowFirstColumn="0" w:lastRowLastColumn="0"/>
              <w:rPr>
                <w:b/>
                <w:color w:val="auto"/>
              </w:rPr>
            </w:pPr>
          </w:p>
        </w:tc>
        <w:tc>
          <w:tcPr>
            <w:tcW w:w="969" w:type="dxa"/>
          </w:tcPr>
          <w:p w14:paraId="3196CFB3" w14:textId="77777777" w:rsidR="000144E7" w:rsidRPr="002C10FB" w:rsidRDefault="000144E7" w:rsidP="00E773FD">
            <w:pPr>
              <w:pStyle w:val="tabteksts"/>
              <w:tabs>
                <w:tab w:val="decimal" w:pos="483"/>
              </w:tabs>
              <w:cnfStyle w:val="000000100000" w:firstRow="0" w:lastRow="0" w:firstColumn="0" w:lastColumn="0" w:oddVBand="0" w:evenVBand="0" w:oddHBand="1" w:evenHBand="0" w:firstRowFirstColumn="0" w:firstRowLastColumn="0" w:lastRowFirstColumn="0" w:lastRowLastColumn="0"/>
              <w:rPr>
                <w:b/>
                <w:color w:val="auto"/>
              </w:rPr>
            </w:pPr>
          </w:p>
        </w:tc>
        <w:tc>
          <w:tcPr>
            <w:tcW w:w="969" w:type="dxa"/>
          </w:tcPr>
          <w:p w14:paraId="01AAC426" w14:textId="77777777" w:rsidR="000144E7" w:rsidRPr="002C10FB" w:rsidRDefault="000144E7" w:rsidP="00E773FD">
            <w:pPr>
              <w:pStyle w:val="tabteksts"/>
              <w:tabs>
                <w:tab w:val="decimal" w:pos="483"/>
              </w:tabs>
              <w:cnfStyle w:val="000000100000" w:firstRow="0" w:lastRow="0" w:firstColumn="0" w:lastColumn="0" w:oddVBand="0" w:evenVBand="0" w:oddHBand="1" w:evenHBand="0" w:firstRowFirstColumn="0" w:firstRowLastColumn="0" w:lastRowFirstColumn="0" w:lastRowLastColumn="0"/>
              <w:rPr>
                <w:b/>
                <w:color w:val="auto"/>
              </w:rPr>
            </w:pPr>
          </w:p>
        </w:tc>
        <w:tc>
          <w:tcPr>
            <w:tcW w:w="1011" w:type="dxa"/>
          </w:tcPr>
          <w:p w14:paraId="0F33892D" w14:textId="77777777" w:rsidR="000144E7" w:rsidRPr="002C10FB" w:rsidRDefault="000144E7" w:rsidP="00E773FD">
            <w:pPr>
              <w:pStyle w:val="tabteksts"/>
              <w:tabs>
                <w:tab w:val="decimal" w:pos="483"/>
              </w:tabs>
              <w:cnfStyle w:val="000000100000" w:firstRow="0" w:lastRow="0" w:firstColumn="0" w:lastColumn="0" w:oddVBand="0" w:evenVBand="0" w:oddHBand="1" w:evenHBand="0" w:firstRowFirstColumn="0" w:firstRowLastColumn="0" w:lastRowFirstColumn="0" w:lastRowLastColumn="0"/>
              <w:rPr>
                <w:b/>
                <w:color w:val="auto"/>
              </w:rPr>
            </w:pPr>
          </w:p>
        </w:tc>
      </w:tr>
      <w:tr w:rsidR="002C10FB" w:rsidRPr="002C10FB" w14:paraId="25E4FBE7" w14:textId="77777777" w:rsidTr="008055B0">
        <w:trPr>
          <w:jc w:val="center"/>
        </w:trPr>
        <w:tc>
          <w:tcPr>
            <w:cnfStyle w:val="001000000000" w:firstRow="0" w:lastRow="0" w:firstColumn="1" w:lastColumn="0" w:oddVBand="0" w:evenVBand="0" w:oddHBand="0" w:evenHBand="0" w:firstRowFirstColumn="0" w:firstRowLastColumn="0" w:lastRowFirstColumn="0" w:lastRowLastColumn="0"/>
            <w:tcW w:w="3463" w:type="dxa"/>
          </w:tcPr>
          <w:p w14:paraId="051736EB" w14:textId="77777777" w:rsidR="000144E7" w:rsidRPr="002C10FB" w:rsidRDefault="000144E7" w:rsidP="00E773FD">
            <w:pPr>
              <w:pStyle w:val="tabteksts"/>
              <w:rPr>
                <w:b w:val="0"/>
                <w:color w:val="auto"/>
              </w:rPr>
            </w:pPr>
            <w:r w:rsidRPr="002C10FB">
              <w:rPr>
                <w:b w:val="0"/>
                <w:color w:val="auto"/>
              </w:rPr>
              <w:t>1. Ražošanas un importa nodokļi</w:t>
            </w:r>
          </w:p>
        </w:tc>
        <w:tc>
          <w:tcPr>
            <w:tcW w:w="992" w:type="dxa"/>
          </w:tcPr>
          <w:p w14:paraId="66A296B5" w14:textId="77777777" w:rsidR="000144E7" w:rsidRPr="002C10FB" w:rsidRDefault="000144E7" w:rsidP="00E773FD">
            <w:pPr>
              <w:pStyle w:val="tabteksts"/>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D.2</w:t>
            </w:r>
          </w:p>
        </w:tc>
        <w:tc>
          <w:tcPr>
            <w:tcW w:w="969" w:type="dxa"/>
            <w:vAlign w:val="center"/>
          </w:tcPr>
          <w:p w14:paraId="067C8695"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3424,5</w:t>
            </w:r>
          </w:p>
        </w:tc>
        <w:tc>
          <w:tcPr>
            <w:tcW w:w="968" w:type="dxa"/>
            <w:vAlign w:val="center"/>
          </w:tcPr>
          <w:p w14:paraId="7243BA06"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3591,4</w:t>
            </w:r>
          </w:p>
        </w:tc>
        <w:tc>
          <w:tcPr>
            <w:tcW w:w="969" w:type="dxa"/>
            <w:vAlign w:val="center"/>
          </w:tcPr>
          <w:p w14:paraId="2B44655A"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3731,8</w:t>
            </w:r>
          </w:p>
        </w:tc>
        <w:tc>
          <w:tcPr>
            <w:tcW w:w="969" w:type="dxa"/>
            <w:vAlign w:val="center"/>
          </w:tcPr>
          <w:p w14:paraId="79F0FA32"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3926,5</w:t>
            </w:r>
          </w:p>
        </w:tc>
        <w:tc>
          <w:tcPr>
            <w:tcW w:w="1011" w:type="dxa"/>
            <w:vAlign w:val="center"/>
          </w:tcPr>
          <w:p w14:paraId="2CBB3B76"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4072,1</w:t>
            </w:r>
          </w:p>
        </w:tc>
      </w:tr>
      <w:tr w:rsidR="002C10FB" w:rsidRPr="002C10FB" w14:paraId="2DD75DB8" w14:textId="77777777" w:rsidTr="0080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3" w:type="dxa"/>
          </w:tcPr>
          <w:p w14:paraId="5CA0A52F" w14:textId="77777777" w:rsidR="000144E7" w:rsidRPr="002C10FB" w:rsidRDefault="000144E7" w:rsidP="00E773FD">
            <w:pPr>
              <w:pStyle w:val="tabteksts"/>
              <w:rPr>
                <w:b w:val="0"/>
                <w:color w:val="auto"/>
              </w:rPr>
            </w:pPr>
            <w:r w:rsidRPr="002C10FB">
              <w:rPr>
                <w:b w:val="0"/>
                <w:color w:val="auto"/>
              </w:rPr>
              <w:t xml:space="preserve">2. </w:t>
            </w:r>
            <w:r w:rsidRPr="002C10FB">
              <w:rPr>
                <w:b w:val="0"/>
                <w:snapToGrid w:val="0"/>
                <w:color w:val="auto"/>
              </w:rPr>
              <w:t>Ienākuma un mantas kārtējie nodokļi</w:t>
            </w:r>
          </w:p>
        </w:tc>
        <w:tc>
          <w:tcPr>
            <w:tcW w:w="992" w:type="dxa"/>
          </w:tcPr>
          <w:p w14:paraId="19EDD4DE" w14:textId="77777777" w:rsidR="000144E7" w:rsidRPr="002C10FB" w:rsidRDefault="000144E7" w:rsidP="00E773FD">
            <w:pPr>
              <w:pStyle w:val="tabteksts"/>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D.5</w:t>
            </w:r>
          </w:p>
        </w:tc>
        <w:tc>
          <w:tcPr>
            <w:tcW w:w="969" w:type="dxa"/>
            <w:vAlign w:val="center"/>
          </w:tcPr>
          <w:p w14:paraId="540C057D" w14:textId="77777777" w:rsidR="000144E7" w:rsidRPr="002C10FB" w:rsidRDefault="000144E7" w:rsidP="002C10FB">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1834,4</w:t>
            </w:r>
          </w:p>
        </w:tc>
        <w:tc>
          <w:tcPr>
            <w:tcW w:w="968" w:type="dxa"/>
            <w:vAlign w:val="center"/>
          </w:tcPr>
          <w:p w14:paraId="6C3B7921" w14:textId="77777777" w:rsidR="000144E7" w:rsidRPr="002C10FB" w:rsidRDefault="000144E7" w:rsidP="002C10FB">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1866,5</w:t>
            </w:r>
          </w:p>
        </w:tc>
        <w:tc>
          <w:tcPr>
            <w:tcW w:w="969" w:type="dxa"/>
            <w:vAlign w:val="center"/>
          </w:tcPr>
          <w:p w14:paraId="40A2D655" w14:textId="77777777" w:rsidR="000144E7" w:rsidRPr="002C10FB" w:rsidRDefault="000144E7" w:rsidP="002C10FB">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1896,9</w:t>
            </w:r>
          </w:p>
        </w:tc>
        <w:tc>
          <w:tcPr>
            <w:tcW w:w="969" w:type="dxa"/>
            <w:vAlign w:val="center"/>
          </w:tcPr>
          <w:p w14:paraId="420551B9" w14:textId="77777777" w:rsidR="000144E7" w:rsidRPr="002C10FB" w:rsidRDefault="000144E7" w:rsidP="002C10FB">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2044,8</w:t>
            </w:r>
          </w:p>
        </w:tc>
        <w:tc>
          <w:tcPr>
            <w:tcW w:w="1011" w:type="dxa"/>
            <w:vAlign w:val="center"/>
          </w:tcPr>
          <w:p w14:paraId="611CEDB0" w14:textId="77777777" w:rsidR="000144E7" w:rsidRPr="002C10FB" w:rsidRDefault="000144E7" w:rsidP="002C10FB">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2177,2</w:t>
            </w:r>
          </w:p>
        </w:tc>
      </w:tr>
      <w:tr w:rsidR="002C10FB" w:rsidRPr="002C10FB" w14:paraId="3577E110" w14:textId="77777777" w:rsidTr="008055B0">
        <w:trPr>
          <w:jc w:val="center"/>
        </w:trPr>
        <w:tc>
          <w:tcPr>
            <w:cnfStyle w:val="001000000000" w:firstRow="0" w:lastRow="0" w:firstColumn="1" w:lastColumn="0" w:oddVBand="0" w:evenVBand="0" w:oddHBand="0" w:evenHBand="0" w:firstRowFirstColumn="0" w:firstRowLastColumn="0" w:lastRowFirstColumn="0" w:lastRowLastColumn="0"/>
            <w:tcW w:w="3463" w:type="dxa"/>
          </w:tcPr>
          <w:p w14:paraId="3A331B15" w14:textId="77777777" w:rsidR="000144E7" w:rsidRPr="002C10FB" w:rsidRDefault="000144E7" w:rsidP="00E773FD">
            <w:pPr>
              <w:pStyle w:val="tabteksts"/>
              <w:rPr>
                <w:b w:val="0"/>
                <w:color w:val="auto"/>
              </w:rPr>
            </w:pPr>
            <w:r w:rsidRPr="002C10FB">
              <w:rPr>
                <w:b w:val="0"/>
                <w:color w:val="auto"/>
              </w:rPr>
              <w:t>3. Kapitāla nodokļi</w:t>
            </w:r>
          </w:p>
        </w:tc>
        <w:tc>
          <w:tcPr>
            <w:tcW w:w="992" w:type="dxa"/>
          </w:tcPr>
          <w:p w14:paraId="55A2DA28" w14:textId="77777777" w:rsidR="000144E7" w:rsidRPr="002C10FB" w:rsidRDefault="000144E7" w:rsidP="00E773FD">
            <w:pPr>
              <w:pStyle w:val="tabteksts"/>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D.91</w:t>
            </w:r>
          </w:p>
        </w:tc>
        <w:tc>
          <w:tcPr>
            <w:tcW w:w="969" w:type="dxa"/>
            <w:vAlign w:val="center"/>
          </w:tcPr>
          <w:p w14:paraId="63980F17"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2,4</w:t>
            </w:r>
          </w:p>
        </w:tc>
        <w:tc>
          <w:tcPr>
            <w:tcW w:w="968" w:type="dxa"/>
            <w:vAlign w:val="center"/>
          </w:tcPr>
          <w:p w14:paraId="5B87C809"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2,5</w:t>
            </w:r>
          </w:p>
        </w:tc>
        <w:tc>
          <w:tcPr>
            <w:tcW w:w="969" w:type="dxa"/>
            <w:vAlign w:val="center"/>
          </w:tcPr>
          <w:p w14:paraId="0311E394"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2,7</w:t>
            </w:r>
          </w:p>
        </w:tc>
        <w:tc>
          <w:tcPr>
            <w:tcW w:w="969" w:type="dxa"/>
            <w:vAlign w:val="center"/>
          </w:tcPr>
          <w:p w14:paraId="6054643A"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2,9</w:t>
            </w:r>
          </w:p>
        </w:tc>
        <w:tc>
          <w:tcPr>
            <w:tcW w:w="1011" w:type="dxa"/>
            <w:vAlign w:val="center"/>
          </w:tcPr>
          <w:p w14:paraId="2095FF82"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2C10FB">
              <w:rPr>
                <w:color w:val="auto"/>
              </w:rPr>
              <w:t>3,2</w:t>
            </w:r>
          </w:p>
        </w:tc>
      </w:tr>
      <w:tr w:rsidR="002C10FB" w:rsidRPr="002C10FB" w14:paraId="5D4D8B2E" w14:textId="77777777" w:rsidTr="0080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3" w:type="dxa"/>
          </w:tcPr>
          <w:p w14:paraId="5301FD8D" w14:textId="77777777" w:rsidR="000144E7" w:rsidRPr="002C10FB" w:rsidRDefault="000144E7" w:rsidP="00E773FD">
            <w:pPr>
              <w:pStyle w:val="tabteksts"/>
              <w:rPr>
                <w:b w:val="0"/>
                <w:color w:val="auto"/>
              </w:rPr>
            </w:pPr>
            <w:r w:rsidRPr="002C10FB">
              <w:rPr>
                <w:b w:val="0"/>
                <w:color w:val="auto"/>
              </w:rPr>
              <w:t>4. Sociālās iemaksas</w:t>
            </w:r>
          </w:p>
        </w:tc>
        <w:tc>
          <w:tcPr>
            <w:tcW w:w="992" w:type="dxa"/>
          </w:tcPr>
          <w:p w14:paraId="0E68E2CB" w14:textId="77777777" w:rsidR="000144E7" w:rsidRPr="002C10FB" w:rsidRDefault="000144E7" w:rsidP="00E773FD">
            <w:pPr>
              <w:pStyle w:val="tabteksts"/>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D.61</w:t>
            </w:r>
          </w:p>
        </w:tc>
        <w:tc>
          <w:tcPr>
            <w:tcW w:w="969" w:type="dxa"/>
            <w:vAlign w:val="center"/>
          </w:tcPr>
          <w:p w14:paraId="68D12DAE" w14:textId="77777777" w:rsidR="000144E7" w:rsidRPr="002C10FB" w:rsidRDefault="000144E7" w:rsidP="002C10FB">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2041,5</w:t>
            </w:r>
          </w:p>
        </w:tc>
        <w:tc>
          <w:tcPr>
            <w:tcW w:w="968" w:type="dxa"/>
            <w:vAlign w:val="center"/>
          </w:tcPr>
          <w:p w14:paraId="3BD2654C" w14:textId="77777777" w:rsidR="000144E7" w:rsidRPr="002C10FB" w:rsidRDefault="000144E7" w:rsidP="002C10FB">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2091,0</w:t>
            </w:r>
          </w:p>
        </w:tc>
        <w:tc>
          <w:tcPr>
            <w:tcW w:w="969" w:type="dxa"/>
            <w:vAlign w:val="center"/>
          </w:tcPr>
          <w:p w14:paraId="1184DC78" w14:textId="77777777" w:rsidR="000144E7" w:rsidRPr="002C10FB" w:rsidRDefault="000144E7" w:rsidP="002C10FB">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2132,5</w:t>
            </w:r>
          </w:p>
        </w:tc>
        <w:tc>
          <w:tcPr>
            <w:tcW w:w="969" w:type="dxa"/>
            <w:vAlign w:val="center"/>
          </w:tcPr>
          <w:p w14:paraId="310AA27D" w14:textId="77777777" w:rsidR="000144E7" w:rsidRPr="002C10FB" w:rsidRDefault="000144E7" w:rsidP="002C10FB">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2257,5</w:t>
            </w:r>
          </w:p>
        </w:tc>
        <w:tc>
          <w:tcPr>
            <w:tcW w:w="1011" w:type="dxa"/>
            <w:vAlign w:val="center"/>
          </w:tcPr>
          <w:p w14:paraId="00086669" w14:textId="77777777" w:rsidR="000144E7" w:rsidRPr="002C10FB" w:rsidRDefault="000144E7" w:rsidP="002C10FB">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2C10FB">
              <w:rPr>
                <w:color w:val="auto"/>
              </w:rPr>
              <w:t>2400,2</w:t>
            </w:r>
          </w:p>
        </w:tc>
      </w:tr>
      <w:tr w:rsidR="002C10FB" w:rsidRPr="002C10FB" w14:paraId="18602918" w14:textId="77777777" w:rsidTr="008055B0">
        <w:trPr>
          <w:trHeight w:val="191"/>
          <w:jc w:val="center"/>
        </w:trPr>
        <w:tc>
          <w:tcPr>
            <w:cnfStyle w:val="001000000000" w:firstRow="0" w:lastRow="0" w:firstColumn="1" w:lastColumn="0" w:oddVBand="0" w:evenVBand="0" w:oddHBand="0" w:evenHBand="0" w:firstRowFirstColumn="0" w:firstRowLastColumn="0" w:lastRowFirstColumn="0" w:lastRowLastColumn="0"/>
            <w:tcW w:w="3463" w:type="dxa"/>
          </w:tcPr>
          <w:p w14:paraId="02E15708" w14:textId="20308EBB" w:rsidR="000144E7" w:rsidRPr="002C10FB" w:rsidRDefault="000144E7" w:rsidP="00E773FD">
            <w:pPr>
              <w:pStyle w:val="tabteksts"/>
              <w:rPr>
                <w:i/>
                <w:color w:val="auto"/>
              </w:rPr>
            </w:pPr>
            <w:r w:rsidRPr="002C10FB">
              <w:rPr>
                <w:i/>
                <w:color w:val="auto"/>
              </w:rPr>
              <w:t>No tā faktiskās sociālās iemaksas</w:t>
            </w:r>
          </w:p>
        </w:tc>
        <w:tc>
          <w:tcPr>
            <w:tcW w:w="992" w:type="dxa"/>
          </w:tcPr>
          <w:p w14:paraId="19D47D90" w14:textId="77777777" w:rsidR="000144E7" w:rsidRPr="002C10FB" w:rsidRDefault="000144E7" w:rsidP="00E773FD">
            <w:pPr>
              <w:pStyle w:val="tabteksts"/>
              <w:cnfStyle w:val="000000000000" w:firstRow="0" w:lastRow="0" w:firstColumn="0" w:lastColumn="0" w:oddVBand="0" w:evenVBand="0" w:oddHBand="0" w:evenHBand="0" w:firstRowFirstColumn="0" w:firstRowLastColumn="0" w:lastRowFirstColumn="0" w:lastRowLastColumn="0"/>
              <w:rPr>
                <w:i/>
                <w:color w:val="auto"/>
              </w:rPr>
            </w:pPr>
            <w:r w:rsidRPr="002C10FB">
              <w:rPr>
                <w:i/>
                <w:color w:val="auto"/>
              </w:rPr>
              <w:t>D.611 un D.613</w:t>
            </w:r>
          </w:p>
        </w:tc>
        <w:tc>
          <w:tcPr>
            <w:tcW w:w="969" w:type="dxa"/>
            <w:vAlign w:val="center"/>
          </w:tcPr>
          <w:p w14:paraId="07E1C4E0"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i/>
                <w:color w:val="auto"/>
              </w:rPr>
            </w:pPr>
            <w:r w:rsidRPr="002C10FB">
              <w:rPr>
                <w:i/>
                <w:color w:val="auto"/>
              </w:rPr>
              <w:t>1981,3</w:t>
            </w:r>
          </w:p>
        </w:tc>
        <w:tc>
          <w:tcPr>
            <w:tcW w:w="968" w:type="dxa"/>
            <w:vAlign w:val="center"/>
          </w:tcPr>
          <w:p w14:paraId="7B4A7B65"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i/>
                <w:color w:val="auto"/>
              </w:rPr>
            </w:pPr>
            <w:r w:rsidRPr="002C10FB">
              <w:rPr>
                <w:i/>
                <w:color w:val="auto"/>
              </w:rPr>
              <w:t>2030,8</w:t>
            </w:r>
          </w:p>
        </w:tc>
        <w:tc>
          <w:tcPr>
            <w:tcW w:w="969" w:type="dxa"/>
            <w:vAlign w:val="center"/>
          </w:tcPr>
          <w:p w14:paraId="736CD078"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i/>
                <w:color w:val="auto"/>
              </w:rPr>
            </w:pPr>
            <w:r w:rsidRPr="002C10FB">
              <w:rPr>
                <w:i/>
                <w:color w:val="auto"/>
              </w:rPr>
              <w:t>2072,3</w:t>
            </w:r>
          </w:p>
        </w:tc>
        <w:tc>
          <w:tcPr>
            <w:tcW w:w="969" w:type="dxa"/>
            <w:vAlign w:val="center"/>
          </w:tcPr>
          <w:p w14:paraId="30867252"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i/>
                <w:color w:val="auto"/>
              </w:rPr>
            </w:pPr>
            <w:r w:rsidRPr="002C10FB">
              <w:rPr>
                <w:i/>
                <w:color w:val="auto"/>
              </w:rPr>
              <w:t>2197,3</w:t>
            </w:r>
          </w:p>
        </w:tc>
        <w:tc>
          <w:tcPr>
            <w:tcW w:w="1011" w:type="dxa"/>
            <w:vAlign w:val="center"/>
          </w:tcPr>
          <w:p w14:paraId="30DC8ED4" w14:textId="77777777" w:rsidR="000144E7" w:rsidRPr="002C10FB" w:rsidRDefault="000144E7" w:rsidP="002C10FB">
            <w:pPr>
              <w:pStyle w:val="tabteksts"/>
              <w:jc w:val="right"/>
              <w:cnfStyle w:val="000000000000" w:firstRow="0" w:lastRow="0" w:firstColumn="0" w:lastColumn="0" w:oddVBand="0" w:evenVBand="0" w:oddHBand="0" w:evenHBand="0" w:firstRowFirstColumn="0" w:firstRowLastColumn="0" w:lastRowFirstColumn="0" w:lastRowLastColumn="0"/>
              <w:rPr>
                <w:i/>
                <w:color w:val="auto"/>
              </w:rPr>
            </w:pPr>
            <w:r w:rsidRPr="002C10FB">
              <w:rPr>
                <w:i/>
                <w:color w:val="auto"/>
              </w:rPr>
              <w:t>2340,0</w:t>
            </w:r>
          </w:p>
        </w:tc>
      </w:tr>
    </w:tbl>
    <w:p w14:paraId="1599CAFE" w14:textId="54C03BB0" w:rsidR="000144E7" w:rsidRPr="000144E7" w:rsidRDefault="000144E7" w:rsidP="00A24A4C">
      <w:pPr>
        <w:spacing w:before="120" w:after="60" w:line="240" w:lineRule="auto"/>
        <w:ind w:firstLine="567"/>
        <w:jc w:val="both"/>
        <w:rPr>
          <w:rFonts w:ascii="Times New Roman" w:hAnsi="Times New Roman" w:cs="Times New Roman"/>
          <w:sz w:val="24"/>
        </w:rPr>
      </w:pPr>
      <w:r w:rsidRPr="000144E7">
        <w:rPr>
          <w:rFonts w:ascii="Times New Roman" w:hAnsi="Times New Roman" w:cs="Times New Roman"/>
          <w:sz w:val="24"/>
        </w:rPr>
        <w:t>Latvijā lielāko daļu no visiem nodokļu ieņēmumiem veido darba nodokļi, taču pēdējos gados nodokļu politika ir vērsta uz darba nodokļu īpatsvara samazināšanu kopējos nodokļu ieņēmumos. Veikto izmaiņu rezultātā darba nodokļu īpatsv</w:t>
      </w:r>
      <w:r w:rsidR="00A24A4C">
        <w:rPr>
          <w:rFonts w:ascii="Times New Roman" w:hAnsi="Times New Roman" w:cs="Times New Roman"/>
          <w:sz w:val="24"/>
        </w:rPr>
        <w:t>ars samazinājās no 47,0 % 2012.gadā līdz 45,6 % 2014.</w:t>
      </w:r>
      <w:r w:rsidRPr="000144E7">
        <w:rPr>
          <w:rFonts w:ascii="Times New Roman" w:hAnsi="Times New Roman" w:cs="Times New Roman"/>
          <w:sz w:val="24"/>
        </w:rPr>
        <w:t>gadā, līdz ar to patēriņa, kapitāla nodokļu ieņēmumu īpatsvars kopējos nodokļu ieņēmumos pakāpenis</w:t>
      </w:r>
      <w:r w:rsidR="00A24A4C">
        <w:rPr>
          <w:rFonts w:ascii="Times New Roman" w:hAnsi="Times New Roman" w:cs="Times New Roman"/>
          <w:sz w:val="24"/>
        </w:rPr>
        <w:t>ki palielinājās no 53,0 % 2012.gadā līdz 54,4 % 2014.</w:t>
      </w:r>
      <w:r w:rsidRPr="000144E7">
        <w:rPr>
          <w:rFonts w:ascii="Times New Roman" w:hAnsi="Times New Roman" w:cs="Times New Roman"/>
          <w:sz w:val="24"/>
        </w:rPr>
        <w:t>gadā.</w:t>
      </w:r>
    </w:p>
    <w:p w14:paraId="480D2C0B" w14:textId="77777777" w:rsidR="000144E7" w:rsidRPr="001616D1" w:rsidRDefault="000144E7" w:rsidP="000144E7">
      <w:pPr>
        <w:spacing w:before="240"/>
        <w:jc w:val="center"/>
      </w:pPr>
      <w:r w:rsidRPr="001616D1">
        <w:rPr>
          <w:noProof/>
          <w:lang w:eastAsia="lv-LV"/>
        </w:rPr>
        <w:drawing>
          <wp:inline distT="0" distB="0" distL="0" distR="0" wp14:anchorId="4E313128" wp14:editId="50379902">
            <wp:extent cx="5118100" cy="2482850"/>
            <wp:effectExtent l="19050" t="19050" r="254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591" t="28152" r="4042" b="2570"/>
                    <a:stretch/>
                  </pic:blipFill>
                  <pic:spPr bwMode="auto">
                    <a:xfrm>
                      <a:off x="0" y="0"/>
                      <a:ext cx="5136657" cy="2491852"/>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3C5F7D8F" w14:textId="41D3D096" w:rsidR="000144E7" w:rsidRPr="001616D1" w:rsidRDefault="00142A2C" w:rsidP="00A24A4C">
      <w:pPr>
        <w:pStyle w:val="Zpar"/>
        <w:spacing w:after="0"/>
        <w:ind w:left="0" w:right="0" w:firstLine="0"/>
        <w:jc w:val="center"/>
        <w:rPr>
          <w:rFonts w:ascii="Times New Roman" w:hAnsi="Times New Roman"/>
          <w:b/>
          <w:i w:val="0"/>
          <w:sz w:val="24"/>
          <w:szCs w:val="24"/>
        </w:rPr>
      </w:pPr>
      <w:r>
        <w:rPr>
          <w:rFonts w:ascii="Times New Roman" w:hAnsi="Times New Roman"/>
          <w:b/>
          <w:i w:val="0"/>
          <w:sz w:val="24"/>
          <w:szCs w:val="24"/>
        </w:rPr>
        <w:t>6.1</w:t>
      </w:r>
      <w:r w:rsidR="00A24A4C">
        <w:rPr>
          <w:rFonts w:ascii="Times New Roman" w:hAnsi="Times New Roman"/>
          <w:b/>
          <w:i w:val="0"/>
          <w:sz w:val="24"/>
          <w:szCs w:val="24"/>
        </w:rPr>
        <w:t>.</w:t>
      </w:r>
      <w:r w:rsidR="000144E7" w:rsidRPr="001616D1">
        <w:rPr>
          <w:rFonts w:ascii="Times New Roman" w:hAnsi="Times New Roman"/>
          <w:b/>
          <w:i w:val="0"/>
          <w:sz w:val="24"/>
          <w:szCs w:val="24"/>
        </w:rPr>
        <w:t>att</w:t>
      </w:r>
      <w:r w:rsidR="00A24A4C">
        <w:rPr>
          <w:rFonts w:ascii="Times New Roman" w:hAnsi="Times New Roman"/>
          <w:b/>
          <w:i w:val="0"/>
          <w:sz w:val="24"/>
          <w:szCs w:val="24"/>
        </w:rPr>
        <w:t>ēls</w:t>
      </w:r>
      <w:r w:rsidR="000144E7" w:rsidRPr="001616D1">
        <w:rPr>
          <w:rFonts w:ascii="Times New Roman" w:hAnsi="Times New Roman"/>
          <w:b/>
          <w:i w:val="0"/>
          <w:sz w:val="24"/>
          <w:szCs w:val="24"/>
        </w:rPr>
        <w:t>. Nodokļu ieņēmumi atbilstoši ek</w:t>
      </w:r>
      <w:r w:rsidR="000144E7">
        <w:rPr>
          <w:rFonts w:ascii="Times New Roman" w:hAnsi="Times New Roman"/>
          <w:b/>
          <w:i w:val="0"/>
          <w:sz w:val="24"/>
          <w:szCs w:val="24"/>
        </w:rPr>
        <w:t>onomiskajām funkcijām, % no IKP</w:t>
      </w:r>
    </w:p>
    <w:p w14:paraId="3660AF71" w14:textId="77777777" w:rsidR="000144E7" w:rsidRPr="000144E7" w:rsidRDefault="000144E7" w:rsidP="00A24A4C">
      <w:pPr>
        <w:spacing w:before="120" w:after="60" w:line="240" w:lineRule="auto"/>
        <w:ind w:firstLine="567"/>
        <w:jc w:val="both"/>
        <w:rPr>
          <w:rFonts w:ascii="Times New Roman" w:hAnsi="Times New Roman" w:cs="Times New Roman"/>
          <w:sz w:val="24"/>
        </w:rPr>
      </w:pPr>
      <w:r w:rsidRPr="000144E7">
        <w:rPr>
          <w:rFonts w:ascii="Times New Roman" w:hAnsi="Times New Roman" w:cs="Times New Roman"/>
          <w:sz w:val="24"/>
        </w:rPr>
        <w:t>Vidēja termiņa nodokļu politikas izmaiņas ir vērstas uz darbaspēka nodokļu sloga samazināšanu un ēnu ekonomikas ierobežošanu, kā arī ekonomiskās aktivitātes, investīciju un nodarbinātības veicināšanai.</w:t>
      </w:r>
    </w:p>
    <w:p w14:paraId="36374962" w14:textId="3BF964D4" w:rsidR="000144E7" w:rsidRPr="000144E7" w:rsidRDefault="000144E7" w:rsidP="000144E7">
      <w:pPr>
        <w:spacing w:after="60" w:line="240" w:lineRule="auto"/>
        <w:ind w:firstLine="567"/>
        <w:jc w:val="both"/>
        <w:rPr>
          <w:rFonts w:ascii="Times New Roman" w:hAnsi="Times New Roman" w:cs="Times New Roman"/>
          <w:sz w:val="24"/>
          <w:szCs w:val="24"/>
          <w:highlight w:val="yellow"/>
        </w:rPr>
      </w:pPr>
      <w:r w:rsidRPr="000144E7">
        <w:rPr>
          <w:rFonts w:ascii="Times New Roman" w:hAnsi="Times New Roman" w:cs="Times New Roman"/>
          <w:sz w:val="24"/>
          <w:szCs w:val="24"/>
        </w:rPr>
        <w:t>Lai samazinātu</w:t>
      </w:r>
      <w:r w:rsidRPr="000144E7">
        <w:rPr>
          <w:rFonts w:ascii="Times New Roman" w:hAnsi="Times New Roman" w:cs="Times New Roman"/>
          <w:b/>
          <w:sz w:val="24"/>
          <w:szCs w:val="24"/>
        </w:rPr>
        <w:t xml:space="preserve"> darbaspēka nodokļu slogu</w:t>
      </w:r>
      <w:r w:rsidR="00116EF0">
        <w:rPr>
          <w:rFonts w:ascii="Times New Roman" w:hAnsi="Times New Roman" w:cs="Times New Roman"/>
          <w:sz w:val="24"/>
          <w:szCs w:val="24"/>
        </w:rPr>
        <w:t>, ar 2014.gada 1.</w:t>
      </w:r>
      <w:r w:rsidRPr="000144E7">
        <w:rPr>
          <w:rFonts w:ascii="Times New Roman" w:hAnsi="Times New Roman" w:cs="Times New Roman"/>
          <w:sz w:val="24"/>
          <w:szCs w:val="24"/>
        </w:rPr>
        <w:t>janvāri tika paaugstināts nodokļa atvieglojums par apgādībā esošu personu no 113,83 </w:t>
      </w:r>
      <w:r w:rsidRPr="000144E7">
        <w:rPr>
          <w:rFonts w:ascii="Times New Roman" w:hAnsi="Times New Roman" w:cs="Times New Roman"/>
          <w:i/>
          <w:sz w:val="24"/>
          <w:szCs w:val="24"/>
        </w:rPr>
        <w:t>euro</w:t>
      </w:r>
      <w:r w:rsidRPr="000144E7">
        <w:rPr>
          <w:rFonts w:ascii="Times New Roman" w:hAnsi="Times New Roman" w:cs="Times New Roman"/>
          <w:sz w:val="24"/>
          <w:szCs w:val="24"/>
        </w:rPr>
        <w:t xml:space="preserve"> līdz 165 </w:t>
      </w:r>
      <w:r w:rsidRPr="000144E7">
        <w:rPr>
          <w:rFonts w:ascii="Times New Roman" w:hAnsi="Times New Roman" w:cs="Times New Roman"/>
          <w:i/>
          <w:sz w:val="24"/>
          <w:szCs w:val="24"/>
        </w:rPr>
        <w:t>euro</w:t>
      </w:r>
      <w:r w:rsidRPr="000144E7">
        <w:rPr>
          <w:rFonts w:ascii="Times New Roman" w:hAnsi="Times New Roman" w:cs="Times New Roman"/>
          <w:sz w:val="24"/>
          <w:szCs w:val="24"/>
        </w:rPr>
        <w:t xml:space="preserve"> un neapliekamais minimums no 64,03 </w:t>
      </w:r>
      <w:r w:rsidRPr="000144E7">
        <w:rPr>
          <w:rFonts w:ascii="Times New Roman" w:hAnsi="Times New Roman" w:cs="Times New Roman"/>
          <w:i/>
          <w:sz w:val="24"/>
          <w:szCs w:val="24"/>
        </w:rPr>
        <w:t>euro</w:t>
      </w:r>
      <w:r w:rsidRPr="000144E7">
        <w:rPr>
          <w:rFonts w:ascii="Times New Roman" w:hAnsi="Times New Roman" w:cs="Times New Roman"/>
          <w:sz w:val="24"/>
          <w:szCs w:val="24"/>
        </w:rPr>
        <w:t xml:space="preserve"> līdz 75 </w:t>
      </w:r>
      <w:r w:rsidRPr="000144E7">
        <w:rPr>
          <w:rFonts w:ascii="Times New Roman" w:hAnsi="Times New Roman" w:cs="Times New Roman"/>
          <w:i/>
          <w:sz w:val="24"/>
          <w:szCs w:val="24"/>
        </w:rPr>
        <w:t>euro</w:t>
      </w:r>
      <w:r w:rsidRPr="000144E7">
        <w:rPr>
          <w:rFonts w:ascii="Times New Roman" w:hAnsi="Times New Roman" w:cs="Times New Roman"/>
          <w:sz w:val="24"/>
          <w:szCs w:val="24"/>
        </w:rPr>
        <w:t>, kā arī tika samazināta valsts sociālās obligātās apdrošināšanas iemaksu likme no 35,09% līdz 34,09 </w:t>
      </w:r>
      <w:r w:rsidR="00116EF0">
        <w:rPr>
          <w:rFonts w:ascii="Times New Roman" w:hAnsi="Times New Roman" w:cs="Times New Roman"/>
          <w:sz w:val="24"/>
          <w:szCs w:val="24"/>
        </w:rPr>
        <w:t>%</w:t>
      </w:r>
      <w:r w:rsidRPr="000144E7">
        <w:rPr>
          <w:rFonts w:ascii="Times New Roman" w:hAnsi="Times New Roman" w:cs="Times New Roman"/>
          <w:sz w:val="24"/>
          <w:szCs w:val="24"/>
        </w:rPr>
        <w:t>.</w:t>
      </w:r>
      <w:r w:rsidRPr="000144E7">
        <w:rPr>
          <w:rFonts w:ascii="Times New Roman" w:hAnsi="Times New Roman" w:cs="Times New Roman"/>
          <w:sz w:val="24"/>
          <w:szCs w:val="24"/>
          <w:highlight w:val="yellow"/>
        </w:rPr>
        <w:t xml:space="preserve"> </w:t>
      </w:r>
    </w:p>
    <w:p w14:paraId="02070B73" w14:textId="7378CD6C" w:rsidR="000144E7" w:rsidRPr="000144E7" w:rsidRDefault="00116EF0" w:rsidP="000144E7">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Savukārt no 2015.gada 1.</w:t>
      </w:r>
      <w:r w:rsidR="000144E7" w:rsidRPr="000144E7">
        <w:rPr>
          <w:rFonts w:ascii="Times New Roman" w:hAnsi="Times New Roman" w:cs="Times New Roman"/>
          <w:sz w:val="24"/>
          <w:szCs w:val="24"/>
        </w:rPr>
        <w:t>janvāra tika paaugstināta minimālā mēneša darba alga no 320 </w:t>
      </w:r>
      <w:r w:rsidR="000144E7" w:rsidRPr="000144E7">
        <w:rPr>
          <w:rFonts w:ascii="Times New Roman" w:hAnsi="Times New Roman" w:cs="Times New Roman"/>
          <w:i/>
          <w:sz w:val="24"/>
          <w:szCs w:val="24"/>
        </w:rPr>
        <w:t>euro</w:t>
      </w:r>
      <w:r w:rsidR="000144E7" w:rsidRPr="000144E7">
        <w:rPr>
          <w:rFonts w:ascii="Times New Roman" w:hAnsi="Times New Roman" w:cs="Times New Roman"/>
          <w:sz w:val="24"/>
          <w:szCs w:val="24"/>
        </w:rPr>
        <w:t xml:space="preserve"> līdz 360 </w:t>
      </w:r>
      <w:r w:rsidR="000144E7" w:rsidRPr="000144E7">
        <w:rPr>
          <w:rFonts w:ascii="Times New Roman" w:hAnsi="Times New Roman" w:cs="Times New Roman"/>
          <w:i/>
          <w:sz w:val="24"/>
          <w:szCs w:val="24"/>
        </w:rPr>
        <w:t>euro</w:t>
      </w:r>
      <w:r w:rsidR="000144E7" w:rsidRPr="000144E7">
        <w:rPr>
          <w:rFonts w:ascii="Times New Roman" w:hAnsi="Times New Roman" w:cs="Times New Roman"/>
          <w:sz w:val="24"/>
          <w:szCs w:val="24"/>
        </w:rPr>
        <w:t xml:space="preserve">, un </w:t>
      </w:r>
      <w:r>
        <w:rPr>
          <w:rFonts w:ascii="Times New Roman" w:hAnsi="Times New Roman" w:cs="Times New Roman"/>
          <w:sz w:val="24"/>
          <w:szCs w:val="24"/>
        </w:rPr>
        <w:t>IIN</w:t>
      </w:r>
      <w:r w:rsidR="000144E7" w:rsidRPr="000144E7">
        <w:rPr>
          <w:rFonts w:ascii="Times New Roman" w:hAnsi="Times New Roman" w:cs="Times New Roman"/>
          <w:sz w:val="24"/>
          <w:szCs w:val="24"/>
        </w:rPr>
        <w:t xml:space="preserve"> likme tika samazināta no 24% līdz 23%.</w:t>
      </w:r>
    </w:p>
    <w:p w14:paraId="634EDBE5" w14:textId="148434C0" w:rsidR="000144E7" w:rsidRPr="000144E7" w:rsidRDefault="000144E7" w:rsidP="000144E7">
      <w:pPr>
        <w:spacing w:after="60" w:line="240" w:lineRule="auto"/>
        <w:ind w:firstLine="709"/>
        <w:jc w:val="both"/>
        <w:rPr>
          <w:rFonts w:ascii="Times New Roman" w:hAnsi="Times New Roman" w:cs="Times New Roman"/>
          <w:bCs/>
          <w:sz w:val="24"/>
          <w:szCs w:val="24"/>
          <w:lang w:eastAsia="lv-LV"/>
        </w:rPr>
      </w:pPr>
      <w:r w:rsidRPr="000144E7">
        <w:rPr>
          <w:rFonts w:ascii="Times New Roman" w:hAnsi="Times New Roman" w:cs="Times New Roman"/>
          <w:sz w:val="24"/>
          <w:szCs w:val="24"/>
        </w:rPr>
        <w:t xml:space="preserve">Arī </w:t>
      </w:r>
      <w:r w:rsidRPr="000144E7">
        <w:rPr>
          <w:rFonts w:ascii="Times New Roman" w:hAnsi="Times New Roman" w:cs="Times New Roman"/>
          <w:bCs/>
          <w:sz w:val="24"/>
          <w:szCs w:val="24"/>
          <w:lang w:eastAsia="lv-LV"/>
        </w:rPr>
        <w:t>vidējā termiņa</w:t>
      </w:r>
      <w:r w:rsidRPr="000144E7">
        <w:rPr>
          <w:rFonts w:ascii="Times New Roman" w:hAnsi="Times New Roman" w:cs="Times New Roman"/>
          <w:sz w:val="24"/>
          <w:szCs w:val="24"/>
        </w:rPr>
        <w:t xml:space="preserve"> būtiskākie veicamie</w:t>
      </w:r>
      <w:r w:rsidRPr="000144E7">
        <w:rPr>
          <w:rFonts w:ascii="Times New Roman" w:hAnsi="Times New Roman" w:cs="Times New Roman"/>
          <w:bCs/>
          <w:sz w:val="24"/>
          <w:szCs w:val="24"/>
          <w:lang w:eastAsia="lv-LV"/>
        </w:rPr>
        <w:t xml:space="preserve"> uzdevumi ir turpināt darbaspēka nodokļu sloga samazināšanu, vienlaikus nodrošino</w:t>
      </w:r>
      <w:r w:rsidR="00116EF0">
        <w:rPr>
          <w:rFonts w:ascii="Times New Roman" w:hAnsi="Times New Roman" w:cs="Times New Roman"/>
          <w:bCs/>
          <w:sz w:val="24"/>
          <w:szCs w:val="24"/>
          <w:lang w:eastAsia="lv-LV"/>
        </w:rPr>
        <w:t>t nodokļu ieņēmumu stabilitāti.</w:t>
      </w:r>
      <w:r w:rsidRPr="000144E7">
        <w:rPr>
          <w:rFonts w:ascii="Times New Roman" w:hAnsi="Times New Roman" w:cs="Times New Roman"/>
          <w:bCs/>
          <w:sz w:val="24"/>
          <w:szCs w:val="24"/>
          <w:lang w:eastAsia="lv-LV"/>
        </w:rPr>
        <w:t xml:space="preserve"> Saskaņ</w:t>
      </w:r>
      <w:r w:rsidR="00116EF0">
        <w:rPr>
          <w:rFonts w:ascii="Times New Roman" w:hAnsi="Times New Roman" w:cs="Times New Roman"/>
          <w:bCs/>
          <w:sz w:val="24"/>
          <w:szCs w:val="24"/>
          <w:lang w:eastAsia="lv-LV"/>
        </w:rPr>
        <w:t>ā ar likumā paredzēto, no 2016.gada 1.</w:t>
      </w:r>
      <w:r w:rsidRPr="000144E7">
        <w:rPr>
          <w:rFonts w:ascii="Times New Roman" w:hAnsi="Times New Roman" w:cs="Times New Roman"/>
          <w:bCs/>
          <w:sz w:val="24"/>
          <w:szCs w:val="24"/>
          <w:lang w:eastAsia="lv-LV"/>
        </w:rPr>
        <w:t>janvāra plānots IIN likmi samazināt vēl par 1 procentpunktu (no 23% uz 22%). Vienlaicīgi atbilstoši</w:t>
      </w:r>
      <w:r w:rsidRPr="000144E7">
        <w:rPr>
          <w:rFonts w:ascii="Times New Roman" w:hAnsi="Times New Roman" w:cs="Times New Roman"/>
          <w:sz w:val="24"/>
          <w:szCs w:val="24"/>
        </w:rPr>
        <w:t xml:space="preserve"> Valdības rīcības plāna Deklarācijai (“Deklarācija par Laimdotas Straujumas vadītā </w:t>
      </w:r>
      <w:r w:rsidR="00B82B2D">
        <w:rPr>
          <w:rFonts w:ascii="Times New Roman" w:hAnsi="Times New Roman" w:cs="Times New Roman"/>
          <w:sz w:val="24"/>
          <w:szCs w:val="24"/>
        </w:rPr>
        <w:t>MK</w:t>
      </w:r>
      <w:r w:rsidRPr="000144E7">
        <w:rPr>
          <w:rFonts w:ascii="Times New Roman" w:hAnsi="Times New Roman" w:cs="Times New Roman"/>
          <w:sz w:val="24"/>
          <w:szCs w:val="24"/>
        </w:rPr>
        <w:t xml:space="preserve"> iecerēto da</w:t>
      </w:r>
      <w:r w:rsidR="00116EF0">
        <w:rPr>
          <w:rFonts w:ascii="Times New Roman" w:hAnsi="Times New Roman" w:cs="Times New Roman"/>
          <w:bCs/>
          <w:sz w:val="24"/>
          <w:szCs w:val="24"/>
          <w:lang w:eastAsia="lv-LV"/>
        </w:rPr>
        <w:t>rbību īstenošanai”) 2015.</w:t>
      </w:r>
      <w:r w:rsidRPr="000144E7">
        <w:rPr>
          <w:rFonts w:ascii="Times New Roman" w:hAnsi="Times New Roman" w:cs="Times New Roman"/>
          <w:bCs/>
          <w:sz w:val="24"/>
          <w:szCs w:val="24"/>
          <w:lang w:eastAsia="lv-LV"/>
        </w:rPr>
        <w:t>gadā tiks izvērtētas iespējas diferencētā neapliekamā minimuma ieviešanai un darbaspēka nodokļu sloga mazināšanai.</w:t>
      </w:r>
    </w:p>
    <w:p w14:paraId="6356C4F8" w14:textId="75E5826E" w:rsidR="000144E7" w:rsidRPr="000144E7" w:rsidRDefault="000144E7" w:rsidP="000144E7">
      <w:pPr>
        <w:tabs>
          <w:tab w:val="left" w:pos="851"/>
        </w:tabs>
        <w:spacing w:after="6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0144E7">
        <w:rPr>
          <w:rFonts w:ascii="Times New Roman" w:hAnsi="Times New Roman" w:cs="Times New Roman"/>
          <w:sz w:val="24"/>
          <w:szCs w:val="24"/>
        </w:rPr>
        <w:t xml:space="preserve">Otrs īstenotais nodokļu politikas virziens saistāms ar </w:t>
      </w:r>
      <w:r w:rsidRPr="000144E7">
        <w:rPr>
          <w:rFonts w:ascii="Times New Roman" w:hAnsi="Times New Roman" w:cs="Times New Roman"/>
          <w:b/>
          <w:sz w:val="24"/>
          <w:szCs w:val="24"/>
        </w:rPr>
        <w:t>ēnu ekonomikas ierobežošanas pasākumu ieviešanu</w:t>
      </w:r>
      <w:r w:rsidRPr="000144E7">
        <w:rPr>
          <w:rFonts w:ascii="Times New Roman" w:hAnsi="Times New Roman" w:cs="Times New Roman"/>
          <w:sz w:val="24"/>
          <w:szCs w:val="24"/>
        </w:rPr>
        <w:t xml:space="preserve">. </w:t>
      </w:r>
      <w:r w:rsidR="00116EF0">
        <w:rPr>
          <w:rFonts w:ascii="Times New Roman" w:hAnsi="Times New Roman" w:cs="Times New Roman"/>
          <w:color w:val="000000"/>
          <w:sz w:val="24"/>
          <w:szCs w:val="24"/>
        </w:rPr>
        <w:t>Ar 2015.</w:t>
      </w:r>
      <w:r w:rsidRPr="000144E7">
        <w:rPr>
          <w:rFonts w:ascii="Times New Roman" w:hAnsi="Times New Roman" w:cs="Times New Roman"/>
          <w:color w:val="000000"/>
          <w:sz w:val="24"/>
          <w:szCs w:val="24"/>
        </w:rPr>
        <w:t>gadu stājās spēkā vairāki ēnu ekonomikas apkarošanas pasākumi:</w:t>
      </w:r>
    </w:p>
    <w:p w14:paraId="12CF5AB4" w14:textId="222DFDF7"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 xml:space="preserve">informācijas apmaiņas procesa uzlabošana starp finanšu iestādēm, Noziedzīgi iegūtu līdzekļu legalizācijas novēršanas dienestu un </w:t>
      </w:r>
      <w:r w:rsidR="00116EF0">
        <w:rPr>
          <w:rFonts w:ascii="Times New Roman" w:hAnsi="Times New Roman" w:cs="Times New Roman"/>
          <w:sz w:val="24"/>
          <w:szCs w:val="24"/>
        </w:rPr>
        <w:t>VID (2014.gada 12.</w:t>
      </w:r>
      <w:r w:rsidRPr="000144E7">
        <w:rPr>
          <w:rFonts w:ascii="Times New Roman" w:hAnsi="Times New Roman" w:cs="Times New Roman"/>
          <w:sz w:val="24"/>
          <w:szCs w:val="24"/>
        </w:rPr>
        <w:t xml:space="preserve">novembra </w:t>
      </w:r>
      <w:r w:rsidR="00116EF0">
        <w:rPr>
          <w:rFonts w:ascii="Times New Roman" w:hAnsi="Times New Roman" w:cs="Times New Roman"/>
          <w:sz w:val="24"/>
          <w:szCs w:val="24"/>
        </w:rPr>
        <w:t>MK sēdes protokola Nr.62. 2.punkts paredz līdz 2015.gada 1.</w:t>
      </w:r>
      <w:r w:rsidRPr="000144E7">
        <w:rPr>
          <w:rFonts w:ascii="Times New Roman" w:hAnsi="Times New Roman" w:cs="Times New Roman"/>
          <w:sz w:val="24"/>
          <w:szCs w:val="24"/>
        </w:rPr>
        <w:t xml:space="preserve">jūlijam iesniegt </w:t>
      </w:r>
      <w:r w:rsidR="00116EF0">
        <w:rPr>
          <w:rFonts w:ascii="Times New Roman" w:hAnsi="Times New Roman" w:cs="Times New Roman"/>
          <w:sz w:val="24"/>
          <w:szCs w:val="24"/>
        </w:rPr>
        <w:t>MK</w:t>
      </w:r>
      <w:r w:rsidRPr="000144E7">
        <w:rPr>
          <w:rFonts w:ascii="Times New Roman" w:hAnsi="Times New Roman" w:cs="Times New Roman"/>
          <w:sz w:val="24"/>
          <w:szCs w:val="24"/>
        </w:rPr>
        <w:t xml:space="preserve"> grozījumus Kredītiestāžu likumā, kas paredz elektroniskās informācijas apmaiņas nodrošināšanu starp kredītiestādēm un </w:t>
      </w:r>
      <w:r w:rsidR="00116EF0">
        <w:rPr>
          <w:rFonts w:ascii="Times New Roman" w:hAnsi="Times New Roman" w:cs="Times New Roman"/>
          <w:sz w:val="24"/>
          <w:szCs w:val="24"/>
        </w:rPr>
        <w:t>VID</w:t>
      </w:r>
      <w:r w:rsidRPr="000144E7">
        <w:rPr>
          <w:rFonts w:ascii="Times New Roman" w:hAnsi="Times New Roman" w:cs="Times New Roman"/>
          <w:sz w:val="24"/>
          <w:szCs w:val="24"/>
        </w:rPr>
        <w:t>);</w:t>
      </w:r>
    </w:p>
    <w:p w14:paraId="37D7617D" w14:textId="77777777"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valdes locekļa personiskās atbildības noteikšana noteiktos gadījumos par kapitālsabiedrības nokavētajiem nodokļu maksājumiem ar mērķi mazināt negodīgu komercuzņēmumu ieviestu praksi par nodokļu parādu nomaksas neveikšanu un parādu uzkrāšanu;</w:t>
      </w:r>
    </w:p>
    <w:p w14:paraId="5CC3D7CB" w14:textId="5B629AB4"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 xml:space="preserve">Uzņēmuma reģistra rīcības noteikšana par informācijas saņemšanu no </w:t>
      </w:r>
      <w:r w:rsidR="00116EF0">
        <w:rPr>
          <w:rFonts w:ascii="Times New Roman" w:hAnsi="Times New Roman" w:cs="Times New Roman"/>
          <w:sz w:val="24"/>
          <w:szCs w:val="24"/>
        </w:rPr>
        <w:t>VID</w:t>
      </w:r>
      <w:r w:rsidRPr="000144E7">
        <w:rPr>
          <w:rFonts w:ascii="Times New Roman" w:hAnsi="Times New Roman" w:cs="Times New Roman"/>
          <w:sz w:val="24"/>
          <w:szCs w:val="24"/>
        </w:rPr>
        <w:t xml:space="preserve"> par riska adresēm, kas nosaka, ka uzņēmuma reģistrācija tiek atlikta, ja tiek konstatēts, ka uzņēmuma pieteikumā norādītā adrese atbilst riska adresei; </w:t>
      </w:r>
    </w:p>
    <w:p w14:paraId="603A695A" w14:textId="77777777"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noteikti principi, kādos gadījumos nodokļu parādniekam ir aizliegts veikt skaidras naudas darījumus;</w:t>
      </w:r>
    </w:p>
    <w:p w14:paraId="3BE87D09" w14:textId="77777777"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noteikti papildus kritēriji ārvalstnieka uzņēmuma amatpersonas sasniedzamībai, kas nosaka, ja juridisko personu pārstāv tikai tādas amatpersonas, kas ir ārvalstu pilsoņi, vismaz vienai no tām personīgi jāiesniedz dokumenti Latvijas Republikas Uzņēmumu reģistrā pirms ieraksta izdarīšanas par juridiskās personas reģistrāciju (grozījumi likumā “Par nodokļiem un nodevām” ir pieņemti, stāsies spēkā vienlaicīgi ar grozījumiem Komerclikumā);</w:t>
      </w:r>
    </w:p>
    <w:p w14:paraId="611185DA" w14:textId="77777777"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lai padarītu caurspīdīgāku uzņēmējdarbības vidi Latvijā, tiks publiskota informācija par komersantu samaksāto nodokļu apmēru;</w:t>
      </w:r>
    </w:p>
    <w:p w14:paraId="7848F640" w14:textId="77777777"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 xml:space="preserve">lai novērstu negodīgu komercpraksi un neatstātu nelabvēlīgu ietekmi uz uzņēmējdarbības vidi, ir nodalītas biedrību un nodibinājumu saimnieciskās darbības no darbības, kurām ir peļņas gūšanas mērķis; </w:t>
      </w:r>
    </w:p>
    <w:p w14:paraId="221BF155" w14:textId="7D1FC7AB"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ieviesta jauna informatīvā deklarācija, kas nosaka pienākumu nodokļu maksātājam, kas sniedz līzinga un kreditēšanas pakalpojumus, iesniegt informatīvo deklarāciju par  Latvijas Republikas rezidenta  veiktajiem līzinga un/vai kredīta un ar to saistīto procentu maksājumiem, kuru summa mēnesī pārsniedz 360 </w:t>
      </w:r>
      <w:r w:rsidRPr="000144E7">
        <w:rPr>
          <w:rFonts w:ascii="Times New Roman" w:hAnsi="Times New Roman" w:cs="Times New Roman"/>
          <w:i/>
          <w:sz w:val="24"/>
          <w:szCs w:val="24"/>
        </w:rPr>
        <w:t>euro</w:t>
      </w:r>
      <w:r w:rsidRPr="000144E7">
        <w:rPr>
          <w:rFonts w:ascii="Times New Roman" w:hAnsi="Times New Roman" w:cs="Times New Roman"/>
          <w:sz w:val="24"/>
          <w:szCs w:val="24"/>
        </w:rPr>
        <w:t>, vai šādu iemaksu kopsumma kalendārā gada laikā pārsniedz 4320 </w:t>
      </w:r>
      <w:r w:rsidRPr="000144E7">
        <w:rPr>
          <w:rFonts w:ascii="Times New Roman" w:hAnsi="Times New Roman" w:cs="Times New Roman"/>
          <w:i/>
          <w:sz w:val="24"/>
          <w:szCs w:val="24"/>
        </w:rPr>
        <w:t>euro</w:t>
      </w:r>
      <w:r w:rsidRPr="000144E7">
        <w:rPr>
          <w:rFonts w:ascii="Times New Roman" w:hAnsi="Times New Roman" w:cs="Times New Roman"/>
          <w:sz w:val="24"/>
          <w:szCs w:val="24"/>
        </w:rPr>
        <w:t xml:space="preserve"> (dots deleģējums </w:t>
      </w:r>
      <w:r w:rsidR="00116EF0">
        <w:rPr>
          <w:rFonts w:ascii="Times New Roman" w:hAnsi="Times New Roman" w:cs="Times New Roman"/>
          <w:sz w:val="24"/>
          <w:szCs w:val="24"/>
        </w:rPr>
        <w:t>MK</w:t>
      </w:r>
      <w:r w:rsidRPr="000144E7">
        <w:rPr>
          <w:rFonts w:ascii="Times New Roman" w:hAnsi="Times New Roman" w:cs="Times New Roman"/>
          <w:sz w:val="24"/>
          <w:szCs w:val="24"/>
        </w:rPr>
        <w:t xml:space="preserve"> līdz 2015.gada 1.jūnijam noteikt kārtību, kādā līzinga un kreditēšanas pakalpojumu sniedzēji sniedz informāciju </w:t>
      </w:r>
      <w:r w:rsidR="00116EF0">
        <w:rPr>
          <w:rFonts w:ascii="Times New Roman" w:hAnsi="Times New Roman" w:cs="Times New Roman"/>
          <w:sz w:val="24"/>
          <w:szCs w:val="24"/>
        </w:rPr>
        <w:t>VID</w:t>
      </w:r>
      <w:r w:rsidRPr="000144E7">
        <w:rPr>
          <w:rFonts w:ascii="Times New Roman" w:hAnsi="Times New Roman" w:cs="Times New Roman"/>
          <w:sz w:val="24"/>
          <w:szCs w:val="24"/>
        </w:rPr>
        <w:t>);</w:t>
      </w:r>
    </w:p>
    <w:p w14:paraId="25061BED" w14:textId="77777777"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nodokļu administrēšanas uzlabošanas pasākumi, kas ietver jaunu un efektīvāku metožu ieviešanu, darbības efektivitātes un produktivitātes paaugstināšanu, kā arī darba organizācijas reformu īstenošanu;</w:t>
      </w:r>
    </w:p>
    <w:p w14:paraId="766A28F6" w14:textId="77777777"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akcīzes nodokļa ieviešana tabakas lapām un citām tabakas lapu ražošanas izejvielām;</w:t>
      </w:r>
    </w:p>
    <w:p w14:paraId="61B26BB6" w14:textId="77777777"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akcīzes nodokļa piemērošana dīzeļdegvielai (gāzeļļai), tās aizstājējproduktiem un komponentiem, kurai ir pievienota no rapšu sēklu eļļas iegūta biodīzeļdegviela;</w:t>
      </w:r>
    </w:p>
    <w:p w14:paraId="14DB192F" w14:textId="77777777" w:rsidR="000144E7" w:rsidRPr="000144E7" w:rsidRDefault="000144E7" w:rsidP="008920E5">
      <w:pPr>
        <w:pStyle w:val="ListParagraph"/>
        <w:numPr>
          <w:ilvl w:val="0"/>
          <w:numId w:val="10"/>
        </w:numPr>
        <w:tabs>
          <w:tab w:val="left" w:pos="1134"/>
        </w:tabs>
        <w:spacing w:after="60" w:line="240" w:lineRule="auto"/>
        <w:ind w:left="1134" w:hanging="357"/>
        <w:contextualSpacing w:val="0"/>
        <w:jc w:val="both"/>
        <w:rPr>
          <w:rFonts w:ascii="Times New Roman" w:hAnsi="Times New Roman" w:cs="Times New Roman"/>
          <w:sz w:val="24"/>
          <w:szCs w:val="24"/>
        </w:rPr>
      </w:pPr>
      <w:r w:rsidRPr="000144E7">
        <w:rPr>
          <w:rFonts w:ascii="Times New Roman" w:hAnsi="Times New Roman" w:cs="Times New Roman"/>
          <w:sz w:val="24"/>
          <w:szCs w:val="24"/>
        </w:rPr>
        <w:t>noteikti lauksaimniecības tehnikas veidi, kuros atļauts izmantot dīzeļdegvielu (gāzeļļu), kam piemērojama akcīzes nodokļa likme 50 </w:t>
      </w:r>
      <w:r w:rsidRPr="000144E7">
        <w:rPr>
          <w:rFonts w:ascii="Times New Roman" w:hAnsi="Times New Roman" w:cs="Times New Roman"/>
          <w:i/>
          <w:sz w:val="24"/>
          <w:szCs w:val="24"/>
        </w:rPr>
        <w:t>euro</w:t>
      </w:r>
      <w:r w:rsidRPr="000144E7">
        <w:rPr>
          <w:rFonts w:ascii="Times New Roman" w:hAnsi="Times New Roman" w:cs="Times New Roman"/>
          <w:sz w:val="24"/>
          <w:szCs w:val="24"/>
        </w:rPr>
        <w:t xml:space="preserve"> par 1000 litriem.</w:t>
      </w:r>
    </w:p>
    <w:p w14:paraId="2A1161F9" w14:textId="4646B671" w:rsidR="000144E7" w:rsidRPr="000144E7" w:rsidRDefault="000144E7" w:rsidP="00116EF0">
      <w:pPr>
        <w:spacing w:after="60" w:line="240" w:lineRule="auto"/>
        <w:ind w:firstLine="709"/>
        <w:jc w:val="both"/>
        <w:rPr>
          <w:rFonts w:ascii="Times New Roman" w:hAnsi="Times New Roman" w:cs="Times New Roman"/>
          <w:bCs/>
          <w:sz w:val="24"/>
          <w:szCs w:val="24"/>
          <w:lang w:eastAsia="lv-LV"/>
        </w:rPr>
      </w:pPr>
      <w:r w:rsidRPr="000144E7">
        <w:rPr>
          <w:rFonts w:ascii="Times New Roman" w:hAnsi="Times New Roman" w:cs="Times New Roman"/>
          <w:bCs/>
          <w:sz w:val="24"/>
          <w:szCs w:val="24"/>
          <w:lang w:eastAsia="lv-LV"/>
        </w:rPr>
        <w:t>Ēnu ekonomika atstāj negatīvu ietekmi uz kopējo valsts ekonomikas izaugsmi, kā arī apdraud valsts tiesiskumu un godīgu konkurenci uzņēmējdarbībā. Līdz ar to viena no valdības darbības prioritātēm ir ēnu ekonomikas mazināšana valstī, kuras īstenošanai 2014.gada 16.septembrī ir izveidota Ēnu ekonomikas apkarošanas padome. Padomes uzdevums ir ēnu ekonomikas apkarošanas jomā koordinēt un uzraudzī</w:t>
      </w:r>
      <w:r w:rsidR="00116EF0">
        <w:rPr>
          <w:rFonts w:ascii="Times New Roman" w:hAnsi="Times New Roman" w:cs="Times New Roman"/>
          <w:bCs/>
          <w:sz w:val="24"/>
          <w:szCs w:val="24"/>
          <w:lang w:eastAsia="lv-LV"/>
        </w:rPr>
        <w:t>t atbildīgo institūciju darbību</w:t>
      </w:r>
      <w:r w:rsidRPr="000144E7">
        <w:rPr>
          <w:rFonts w:ascii="Times New Roman" w:hAnsi="Times New Roman" w:cs="Times New Roman"/>
          <w:bCs/>
          <w:sz w:val="24"/>
          <w:szCs w:val="24"/>
          <w:lang w:eastAsia="lv-LV"/>
        </w:rPr>
        <w:t xml:space="preserve"> ar mērķi būtiski mazināt “aplokšņu algas”, apkarot nodokļu izkrāpšanas shēmas un citus negodprātīgas uzņēmējdarbības principus, kam vidējā termiņā tiks pievērsta pastiprināta uzmanība - it īpaši </w:t>
      </w:r>
      <w:r w:rsidRPr="000144E7">
        <w:rPr>
          <w:rFonts w:ascii="Times New Roman" w:hAnsi="Times New Roman" w:cs="Times New Roman"/>
          <w:bCs/>
          <w:sz w:val="24"/>
          <w:szCs w:val="24"/>
        </w:rPr>
        <w:t>VID aktīva vēršanās pret nodokļu nemaksāšanu,</w:t>
      </w:r>
      <w:r w:rsidRPr="000144E7">
        <w:rPr>
          <w:rFonts w:ascii="Times New Roman" w:hAnsi="Times New Roman" w:cs="Times New Roman"/>
          <w:bCs/>
          <w:sz w:val="24"/>
          <w:szCs w:val="24"/>
          <w:lang w:eastAsia="lv-LV"/>
        </w:rPr>
        <w:t xml:space="preserve"> tādejādi uzlabojot nodokļ</w:t>
      </w:r>
      <w:r w:rsidR="00116EF0">
        <w:rPr>
          <w:rFonts w:ascii="Times New Roman" w:hAnsi="Times New Roman" w:cs="Times New Roman"/>
          <w:bCs/>
          <w:sz w:val="24"/>
          <w:szCs w:val="24"/>
          <w:lang w:eastAsia="lv-LV"/>
        </w:rPr>
        <w:t xml:space="preserve">u iekasēšanu. </w:t>
      </w:r>
    </w:p>
    <w:p w14:paraId="77E8455A" w14:textId="4AC61A73" w:rsidR="000144E7" w:rsidRPr="000144E7" w:rsidRDefault="000144E7" w:rsidP="000144E7">
      <w:pPr>
        <w:spacing w:after="60" w:line="240" w:lineRule="auto"/>
        <w:ind w:firstLine="567"/>
        <w:jc w:val="both"/>
        <w:rPr>
          <w:rFonts w:ascii="Times New Roman" w:hAnsi="Times New Roman" w:cs="Times New Roman"/>
          <w:bCs/>
          <w:sz w:val="24"/>
          <w:szCs w:val="24"/>
          <w:lang w:eastAsia="lv-LV"/>
        </w:rPr>
      </w:pPr>
      <w:r w:rsidRPr="000144E7">
        <w:rPr>
          <w:rFonts w:ascii="Times New Roman" w:hAnsi="Times New Roman" w:cs="Times New Roman"/>
          <w:bCs/>
          <w:sz w:val="24"/>
          <w:szCs w:val="24"/>
          <w:lang w:eastAsia="lv-LV"/>
        </w:rPr>
        <w:t>Papildus vēlamies norādīt, ka šobrīd n</w:t>
      </w:r>
      <w:r w:rsidR="00116EF0">
        <w:rPr>
          <w:rFonts w:ascii="Times New Roman" w:hAnsi="Times New Roman" w:cs="Times New Roman"/>
          <w:bCs/>
          <w:sz w:val="24"/>
          <w:szCs w:val="24"/>
          <w:lang w:eastAsia="lv-LV"/>
        </w:rPr>
        <w:t>oris darbs pie ieceres no 2015.gada 1.</w:t>
      </w:r>
      <w:r w:rsidRPr="000144E7">
        <w:rPr>
          <w:rFonts w:ascii="Times New Roman" w:hAnsi="Times New Roman" w:cs="Times New Roman"/>
          <w:bCs/>
          <w:sz w:val="24"/>
          <w:szCs w:val="24"/>
          <w:lang w:eastAsia="lv-LV"/>
        </w:rPr>
        <w:t xml:space="preserve">jūlija </w:t>
      </w:r>
      <w:r w:rsidRPr="000144E7">
        <w:rPr>
          <w:rFonts w:ascii="Times New Roman" w:hAnsi="Times New Roman" w:cs="Times New Roman"/>
          <w:b/>
          <w:bCs/>
          <w:sz w:val="24"/>
          <w:szCs w:val="24"/>
          <w:lang w:eastAsia="lv-LV"/>
        </w:rPr>
        <w:t>paaugstināt akcīzes nodokļa likmes alkoholiskajiem dzērieniem un alum</w:t>
      </w:r>
      <w:r w:rsidRPr="000144E7">
        <w:rPr>
          <w:rFonts w:ascii="Times New Roman" w:hAnsi="Times New Roman" w:cs="Times New Roman"/>
          <w:bCs/>
          <w:sz w:val="24"/>
          <w:szCs w:val="24"/>
          <w:lang w:eastAsia="lv-LV"/>
        </w:rPr>
        <w:t>, ar iespējamu likmju paaugstināšanu a</w:t>
      </w:r>
      <w:r w:rsidR="00116EF0">
        <w:rPr>
          <w:rFonts w:ascii="Times New Roman" w:hAnsi="Times New Roman" w:cs="Times New Roman"/>
          <w:bCs/>
          <w:sz w:val="24"/>
          <w:szCs w:val="24"/>
          <w:lang w:eastAsia="lv-LV"/>
        </w:rPr>
        <w:t>rī turpmākajos gados – ar 2016.gada 1.</w:t>
      </w:r>
      <w:r w:rsidRPr="000144E7">
        <w:rPr>
          <w:rFonts w:ascii="Times New Roman" w:hAnsi="Times New Roman" w:cs="Times New Roman"/>
          <w:bCs/>
          <w:sz w:val="24"/>
          <w:szCs w:val="24"/>
          <w:lang w:eastAsia="lv-LV"/>
        </w:rPr>
        <w:t>aprīli u</w:t>
      </w:r>
      <w:r w:rsidR="00116EF0">
        <w:rPr>
          <w:rFonts w:ascii="Times New Roman" w:hAnsi="Times New Roman" w:cs="Times New Roman"/>
          <w:bCs/>
          <w:sz w:val="24"/>
          <w:szCs w:val="24"/>
          <w:lang w:eastAsia="lv-LV"/>
        </w:rPr>
        <w:t>n 2017.gada 1.</w:t>
      </w:r>
      <w:r w:rsidRPr="000144E7">
        <w:rPr>
          <w:rFonts w:ascii="Times New Roman" w:hAnsi="Times New Roman" w:cs="Times New Roman"/>
          <w:bCs/>
          <w:sz w:val="24"/>
          <w:szCs w:val="24"/>
          <w:lang w:eastAsia="lv-LV"/>
        </w:rPr>
        <w:t xml:space="preserve">aprīli. </w:t>
      </w:r>
    </w:p>
    <w:p w14:paraId="7AAB6326" w14:textId="77777777" w:rsidR="000144E7" w:rsidRPr="00142A2C" w:rsidRDefault="000144E7" w:rsidP="00142A2C">
      <w:pPr>
        <w:spacing w:before="320" w:after="120" w:line="240" w:lineRule="auto"/>
        <w:ind w:firstLine="709"/>
        <w:jc w:val="both"/>
        <w:rPr>
          <w:rFonts w:ascii="Times New Roman" w:hAnsi="Times New Roman" w:cs="Times New Roman"/>
          <w:b/>
          <w:sz w:val="24"/>
          <w:szCs w:val="24"/>
        </w:rPr>
      </w:pPr>
      <w:r w:rsidRPr="000144E7">
        <w:rPr>
          <w:rFonts w:ascii="Times New Roman" w:hAnsi="Times New Roman" w:cs="Times New Roman"/>
          <w:b/>
          <w:sz w:val="24"/>
          <w:szCs w:val="24"/>
        </w:rPr>
        <w:t>Pievienotās vērtības nodoklis</w:t>
      </w:r>
    </w:p>
    <w:p w14:paraId="1C07941B" w14:textId="64B8F6EB" w:rsidR="000144E7" w:rsidRPr="000144E7" w:rsidRDefault="000144E7" w:rsidP="000144E7">
      <w:pPr>
        <w:spacing w:after="60" w:line="240" w:lineRule="auto"/>
        <w:ind w:firstLine="709"/>
        <w:jc w:val="both"/>
        <w:rPr>
          <w:rFonts w:ascii="Times New Roman" w:hAnsi="Times New Roman" w:cs="Times New Roman"/>
          <w:bCs/>
          <w:sz w:val="24"/>
          <w:szCs w:val="24"/>
          <w:lang w:eastAsia="lv-LV"/>
        </w:rPr>
      </w:pPr>
      <w:r w:rsidRPr="000144E7">
        <w:rPr>
          <w:rFonts w:ascii="Times New Roman" w:hAnsi="Times New Roman" w:cs="Times New Roman"/>
          <w:bCs/>
          <w:sz w:val="24"/>
          <w:szCs w:val="24"/>
          <w:lang w:eastAsia="lv-LV"/>
        </w:rPr>
        <w:t xml:space="preserve">Neskatoties uz </w:t>
      </w:r>
      <w:r w:rsidR="00116EF0">
        <w:rPr>
          <w:rFonts w:ascii="Times New Roman" w:hAnsi="Times New Roman" w:cs="Times New Roman"/>
          <w:bCs/>
          <w:sz w:val="24"/>
          <w:szCs w:val="24"/>
          <w:lang w:eastAsia="lv-LV"/>
        </w:rPr>
        <w:t>PVN</w:t>
      </w:r>
      <w:r w:rsidRPr="000144E7">
        <w:rPr>
          <w:rFonts w:ascii="Times New Roman" w:hAnsi="Times New Roman" w:cs="Times New Roman"/>
          <w:bCs/>
          <w:sz w:val="24"/>
          <w:szCs w:val="24"/>
          <w:lang w:eastAsia="lv-LV"/>
        </w:rPr>
        <w:t xml:space="preserve"> ieņēmumu pieauguma tempa samazinājumu, sagaidāms stabils </w:t>
      </w:r>
      <w:r w:rsidR="00116EF0">
        <w:rPr>
          <w:rFonts w:ascii="Times New Roman" w:hAnsi="Times New Roman" w:cs="Times New Roman"/>
          <w:bCs/>
          <w:sz w:val="24"/>
          <w:szCs w:val="24"/>
          <w:lang w:eastAsia="lv-LV"/>
        </w:rPr>
        <w:t>PVN</w:t>
      </w:r>
      <w:r w:rsidRPr="000144E7">
        <w:rPr>
          <w:rFonts w:ascii="Times New Roman" w:hAnsi="Times New Roman" w:cs="Times New Roman"/>
          <w:bCs/>
          <w:sz w:val="24"/>
          <w:szCs w:val="24"/>
          <w:lang w:eastAsia="lv-LV"/>
        </w:rPr>
        <w:t xml:space="preserve"> ieņēmumu kāpums, atbilstoši prognozētajai valsts ekonomikas izaugsmei.</w:t>
      </w:r>
    </w:p>
    <w:p w14:paraId="69C9877A" w14:textId="4387EE25" w:rsidR="000144E7" w:rsidRDefault="000144E7" w:rsidP="000144E7">
      <w:pPr>
        <w:spacing w:after="60" w:line="240" w:lineRule="auto"/>
        <w:ind w:firstLine="709"/>
        <w:jc w:val="both"/>
        <w:rPr>
          <w:rFonts w:ascii="Times New Roman" w:hAnsi="Times New Roman" w:cs="Times New Roman"/>
          <w:bCs/>
          <w:sz w:val="24"/>
          <w:szCs w:val="24"/>
          <w:lang w:eastAsia="lv-LV"/>
        </w:rPr>
      </w:pPr>
      <w:r w:rsidRPr="000144E7">
        <w:rPr>
          <w:rFonts w:ascii="Times New Roman" w:hAnsi="Times New Roman" w:cs="Times New Roman"/>
          <w:bCs/>
          <w:sz w:val="24"/>
          <w:szCs w:val="24"/>
          <w:lang w:eastAsia="lv-LV"/>
        </w:rPr>
        <w:t xml:space="preserve">Turklāt </w:t>
      </w:r>
      <w:r w:rsidR="00116EF0">
        <w:rPr>
          <w:rFonts w:ascii="Times New Roman" w:hAnsi="Times New Roman" w:cs="Times New Roman"/>
          <w:bCs/>
          <w:sz w:val="24"/>
          <w:szCs w:val="24"/>
          <w:lang w:eastAsia="lv-LV"/>
        </w:rPr>
        <w:t>PVN</w:t>
      </w:r>
      <w:r w:rsidRPr="000144E7">
        <w:rPr>
          <w:rFonts w:ascii="Times New Roman" w:hAnsi="Times New Roman" w:cs="Times New Roman"/>
          <w:bCs/>
          <w:sz w:val="24"/>
          <w:szCs w:val="24"/>
          <w:lang w:eastAsia="lv-LV"/>
        </w:rPr>
        <w:t xml:space="preserve"> ieņēmumu pieaugums vidējā termiņā tiks veicināts, turpinot īstenot valdības pieņemtos pasākumus - cīņu pret nodokļu nemaksāšanu un izvairīšanos no nodokļu maksāšanas, uzlabojot nodokļa iekasēšanas efektivitāti. Uzlabojot nodokļa iekasējamību, pakāpeniski pieaugs nodokļa ieņēmumu apjoms pret IKP. </w:t>
      </w:r>
      <w:r w:rsidR="00116EF0">
        <w:rPr>
          <w:rFonts w:ascii="Times New Roman" w:hAnsi="Times New Roman" w:cs="Times New Roman"/>
          <w:bCs/>
          <w:sz w:val="24"/>
          <w:szCs w:val="24"/>
          <w:lang w:eastAsia="lv-LV"/>
        </w:rPr>
        <w:t>PVN</w:t>
      </w:r>
      <w:r w:rsidRPr="000144E7">
        <w:rPr>
          <w:rFonts w:ascii="Times New Roman" w:hAnsi="Times New Roman" w:cs="Times New Roman"/>
          <w:bCs/>
          <w:sz w:val="24"/>
          <w:szCs w:val="24"/>
          <w:lang w:eastAsia="lv-LV"/>
        </w:rPr>
        <w:t xml:space="preserve"> ieņēmumus ietekmē arī pasākumi, kas nav tieši saistīti ar </w:t>
      </w:r>
      <w:r w:rsidR="00116EF0">
        <w:rPr>
          <w:rFonts w:ascii="Times New Roman" w:hAnsi="Times New Roman" w:cs="Times New Roman"/>
          <w:bCs/>
          <w:sz w:val="24"/>
          <w:szCs w:val="24"/>
          <w:lang w:eastAsia="lv-LV"/>
        </w:rPr>
        <w:t>PVN</w:t>
      </w:r>
      <w:r w:rsidRPr="000144E7">
        <w:rPr>
          <w:rFonts w:ascii="Times New Roman" w:hAnsi="Times New Roman" w:cs="Times New Roman"/>
          <w:bCs/>
          <w:sz w:val="24"/>
          <w:szCs w:val="24"/>
          <w:lang w:eastAsia="lv-LV"/>
        </w:rPr>
        <w:t xml:space="preserve"> likuma izmaiņām, bet veicinās tā ieņēmumu pieaugumu.</w:t>
      </w:r>
    </w:p>
    <w:p w14:paraId="2AD7B012" w14:textId="1EDDC333" w:rsidR="000144E7" w:rsidRPr="008744A7" w:rsidRDefault="00116EF0" w:rsidP="005812B4">
      <w:pPr>
        <w:pStyle w:val="T"/>
        <w:spacing w:before="240"/>
        <w:ind w:left="0"/>
        <w:jc w:val="right"/>
        <w:rPr>
          <w:rFonts w:ascii="Times New Roman" w:hAnsi="Times New Roman"/>
          <w:i/>
          <w:szCs w:val="24"/>
        </w:rPr>
      </w:pPr>
      <w:r>
        <w:rPr>
          <w:rFonts w:ascii="Times New Roman" w:hAnsi="Times New Roman"/>
          <w:szCs w:val="24"/>
        </w:rPr>
        <w:t>6.2.</w:t>
      </w:r>
      <w:r w:rsidR="000144E7" w:rsidRPr="008744A7">
        <w:rPr>
          <w:rFonts w:ascii="Times New Roman" w:hAnsi="Times New Roman"/>
          <w:szCs w:val="24"/>
        </w:rPr>
        <w:t>tabula. Nodokļu politikas būtiskāko izmaiņu ietekme</w:t>
      </w:r>
      <w:r w:rsidR="000144E7" w:rsidRPr="008744A7">
        <w:rPr>
          <w:rStyle w:val="FootnoteReference"/>
          <w:rFonts w:ascii="Times New Roman" w:hAnsi="Times New Roman"/>
          <w:szCs w:val="24"/>
        </w:rPr>
        <w:footnoteReference w:id="18"/>
      </w:r>
      <w:r w:rsidR="000144E7" w:rsidRPr="008744A7">
        <w:rPr>
          <w:rFonts w:ascii="Times New Roman" w:hAnsi="Times New Roman"/>
          <w:szCs w:val="24"/>
        </w:rPr>
        <w:t xml:space="preserve"> uz PVN ieņēmumiem, milj. </w:t>
      </w:r>
      <w:r w:rsidR="000144E7" w:rsidRPr="008744A7">
        <w:rPr>
          <w:rFonts w:ascii="Times New Roman" w:hAnsi="Times New Roman"/>
          <w:i/>
          <w:szCs w:val="24"/>
        </w:rPr>
        <w:t>euro</w:t>
      </w:r>
    </w:p>
    <w:tbl>
      <w:tblPr>
        <w:tblStyle w:val="GridTable6ColorfulAccent1"/>
        <w:tblW w:w="9355" w:type="dxa"/>
        <w:jc w:val="center"/>
        <w:tblLayout w:type="fixed"/>
        <w:tblLook w:val="04A0" w:firstRow="1" w:lastRow="0" w:firstColumn="1" w:lastColumn="0" w:noHBand="0" w:noVBand="1"/>
      </w:tblPr>
      <w:tblGrid>
        <w:gridCol w:w="6095"/>
        <w:gridCol w:w="992"/>
        <w:gridCol w:w="851"/>
        <w:gridCol w:w="679"/>
        <w:gridCol w:w="738"/>
      </w:tblGrid>
      <w:tr w:rsidR="002C10FB" w:rsidRPr="002C10FB" w14:paraId="14A574EC" w14:textId="77777777" w:rsidTr="002C10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5" w:type="dxa"/>
          </w:tcPr>
          <w:p w14:paraId="2F8A5F75" w14:textId="77777777" w:rsidR="000144E7" w:rsidRPr="002C10FB" w:rsidRDefault="000144E7" w:rsidP="00E773FD">
            <w:pPr>
              <w:rPr>
                <w:rFonts w:ascii="Times New Roman" w:hAnsi="Times New Roman" w:cs="Times New Roman"/>
                <w:color w:val="auto"/>
                <w:sz w:val="20"/>
                <w:szCs w:val="20"/>
              </w:rPr>
            </w:pPr>
          </w:p>
        </w:tc>
        <w:tc>
          <w:tcPr>
            <w:tcW w:w="992" w:type="dxa"/>
            <w:vAlign w:val="center"/>
          </w:tcPr>
          <w:p w14:paraId="6A7CD8D4" w14:textId="77777777" w:rsidR="000144E7" w:rsidRPr="002C10FB" w:rsidRDefault="000144E7" w:rsidP="002C10FB">
            <w:pPr>
              <w:tabs>
                <w:tab w:val="decimal" w:pos="-1211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2015</w:t>
            </w:r>
          </w:p>
        </w:tc>
        <w:tc>
          <w:tcPr>
            <w:tcW w:w="851" w:type="dxa"/>
            <w:vAlign w:val="center"/>
          </w:tcPr>
          <w:p w14:paraId="5297283D" w14:textId="77777777" w:rsidR="000144E7" w:rsidRPr="002C10FB" w:rsidRDefault="000144E7" w:rsidP="002C10FB">
            <w:pPr>
              <w:tabs>
                <w:tab w:val="decimal" w:pos="-1211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2016</w:t>
            </w:r>
          </w:p>
        </w:tc>
        <w:tc>
          <w:tcPr>
            <w:tcW w:w="679" w:type="dxa"/>
            <w:vAlign w:val="center"/>
          </w:tcPr>
          <w:p w14:paraId="0BEF833B" w14:textId="77777777" w:rsidR="000144E7" w:rsidRPr="002C10FB" w:rsidRDefault="000144E7" w:rsidP="002C10FB">
            <w:pPr>
              <w:tabs>
                <w:tab w:val="decimal" w:pos="-1211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2017</w:t>
            </w:r>
          </w:p>
        </w:tc>
        <w:tc>
          <w:tcPr>
            <w:tcW w:w="738" w:type="dxa"/>
            <w:vAlign w:val="center"/>
          </w:tcPr>
          <w:p w14:paraId="7E8A2474" w14:textId="77777777" w:rsidR="000144E7" w:rsidRPr="002C10FB" w:rsidRDefault="000144E7" w:rsidP="002C10FB">
            <w:pPr>
              <w:tabs>
                <w:tab w:val="decimal" w:pos="-1211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2018</w:t>
            </w:r>
          </w:p>
        </w:tc>
      </w:tr>
      <w:tr w:rsidR="002C10FB" w:rsidRPr="002C10FB" w14:paraId="03A7639D"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5" w:type="dxa"/>
          </w:tcPr>
          <w:p w14:paraId="2A834219" w14:textId="77985AA4" w:rsidR="000144E7" w:rsidRPr="002C10FB" w:rsidRDefault="000144E7" w:rsidP="00116EF0">
            <w:pPr>
              <w:rPr>
                <w:rFonts w:ascii="Times New Roman" w:hAnsi="Times New Roman" w:cs="Times New Roman"/>
                <w:b w:val="0"/>
                <w:color w:val="auto"/>
                <w:sz w:val="20"/>
                <w:szCs w:val="20"/>
              </w:rPr>
            </w:pPr>
            <w:r w:rsidRPr="002C10FB">
              <w:rPr>
                <w:rFonts w:ascii="Times New Roman" w:hAnsi="Times New Roman" w:cs="Times New Roman"/>
                <w:b w:val="0"/>
                <w:color w:val="auto"/>
                <w:sz w:val="20"/>
                <w:szCs w:val="20"/>
              </w:rPr>
              <w:t xml:space="preserve">Cīņa ar ēnu ekonomiku un citi pasākumi, lai uzlabotu nodokļu administrēšanu (nodokļu administrēšanas uzlabošanas pasākumi, informācijas apmaiņas procesa uzlabošana starp finanšu iestādēm, Noziedzīgi iegūtu līdzekļu legalizācijas novēršanas dienestu un </w:t>
            </w:r>
            <w:r w:rsidR="00116EF0" w:rsidRPr="002C10FB">
              <w:rPr>
                <w:rFonts w:ascii="Times New Roman" w:hAnsi="Times New Roman" w:cs="Times New Roman"/>
                <w:b w:val="0"/>
                <w:color w:val="auto"/>
                <w:sz w:val="20"/>
                <w:szCs w:val="20"/>
              </w:rPr>
              <w:t>VID</w:t>
            </w:r>
            <w:r w:rsidRPr="002C10FB">
              <w:rPr>
                <w:rFonts w:ascii="Times New Roman" w:hAnsi="Times New Roman" w:cs="Times New Roman"/>
                <w:b w:val="0"/>
                <w:color w:val="auto"/>
                <w:sz w:val="20"/>
                <w:szCs w:val="20"/>
              </w:rPr>
              <w:t xml:space="preserve"> u.c. pasākumi)</w:t>
            </w:r>
          </w:p>
        </w:tc>
        <w:tc>
          <w:tcPr>
            <w:tcW w:w="992" w:type="dxa"/>
            <w:vAlign w:val="center"/>
          </w:tcPr>
          <w:p w14:paraId="47175888" w14:textId="1CBDA40B" w:rsidR="000144E7" w:rsidRPr="002C10FB" w:rsidRDefault="000144E7" w:rsidP="002C10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+34,3</w:t>
            </w:r>
          </w:p>
        </w:tc>
        <w:tc>
          <w:tcPr>
            <w:tcW w:w="851" w:type="dxa"/>
            <w:vAlign w:val="center"/>
          </w:tcPr>
          <w:p w14:paraId="65AC2D40" w14:textId="77777777" w:rsidR="000144E7" w:rsidRPr="002C10FB" w:rsidRDefault="000144E7" w:rsidP="002C10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+1,4</w:t>
            </w:r>
          </w:p>
        </w:tc>
        <w:tc>
          <w:tcPr>
            <w:tcW w:w="679" w:type="dxa"/>
            <w:vAlign w:val="center"/>
          </w:tcPr>
          <w:p w14:paraId="1950D3E8" w14:textId="77777777" w:rsidR="000144E7" w:rsidRPr="002C10FB" w:rsidRDefault="000144E7" w:rsidP="002C10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738" w:type="dxa"/>
            <w:vAlign w:val="center"/>
          </w:tcPr>
          <w:p w14:paraId="4CDE3516" w14:textId="77777777" w:rsidR="000144E7" w:rsidRPr="002C10FB" w:rsidRDefault="000144E7" w:rsidP="002C10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2C10FB" w:rsidRPr="002C10FB" w14:paraId="06E5DC69"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6095" w:type="dxa"/>
          </w:tcPr>
          <w:p w14:paraId="47A5309D" w14:textId="77777777" w:rsidR="000144E7" w:rsidRPr="002C10FB" w:rsidRDefault="000144E7" w:rsidP="00E773FD">
            <w:pPr>
              <w:rPr>
                <w:rFonts w:ascii="Times New Roman" w:hAnsi="Times New Roman" w:cs="Times New Roman"/>
                <w:b w:val="0"/>
                <w:color w:val="auto"/>
                <w:sz w:val="20"/>
                <w:szCs w:val="20"/>
              </w:rPr>
            </w:pPr>
            <w:r w:rsidRPr="002C10FB">
              <w:rPr>
                <w:rFonts w:ascii="Times New Roman" w:hAnsi="Times New Roman" w:cs="Times New Roman"/>
                <w:b w:val="0"/>
                <w:color w:val="auto"/>
                <w:sz w:val="20"/>
                <w:szCs w:val="20"/>
              </w:rPr>
              <w:t>Akcīzes nodokļa likmes paaugstināšana cigaretēm, cigāriem un cigarillām un smēķējamai tabakai</w:t>
            </w:r>
          </w:p>
        </w:tc>
        <w:tc>
          <w:tcPr>
            <w:tcW w:w="992" w:type="dxa"/>
            <w:vAlign w:val="center"/>
          </w:tcPr>
          <w:p w14:paraId="2746C1D1" w14:textId="77777777" w:rsidR="000144E7" w:rsidRPr="002C10FB" w:rsidRDefault="000144E7" w:rsidP="002C10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+0,5</w:t>
            </w:r>
          </w:p>
        </w:tc>
        <w:tc>
          <w:tcPr>
            <w:tcW w:w="851" w:type="dxa"/>
            <w:vAlign w:val="center"/>
          </w:tcPr>
          <w:p w14:paraId="60862D0A" w14:textId="77777777" w:rsidR="000144E7" w:rsidRPr="002C10FB" w:rsidRDefault="000144E7" w:rsidP="002C10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+0,7</w:t>
            </w:r>
          </w:p>
        </w:tc>
        <w:tc>
          <w:tcPr>
            <w:tcW w:w="679" w:type="dxa"/>
            <w:vAlign w:val="center"/>
          </w:tcPr>
          <w:p w14:paraId="167AC8BA" w14:textId="77777777" w:rsidR="000144E7" w:rsidRPr="002C10FB" w:rsidRDefault="000144E7" w:rsidP="002C10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+0,8</w:t>
            </w:r>
          </w:p>
        </w:tc>
        <w:tc>
          <w:tcPr>
            <w:tcW w:w="738" w:type="dxa"/>
            <w:vAlign w:val="center"/>
          </w:tcPr>
          <w:p w14:paraId="7F735737" w14:textId="77777777" w:rsidR="000144E7" w:rsidRPr="002C10FB" w:rsidRDefault="000144E7" w:rsidP="002C10F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+0,9</w:t>
            </w:r>
          </w:p>
        </w:tc>
      </w:tr>
      <w:tr w:rsidR="002C10FB" w:rsidRPr="002C10FB" w14:paraId="0DB5A42F" w14:textId="77777777" w:rsidTr="002C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5" w:type="dxa"/>
          </w:tcPr>
          <w:p w14:paraId="3B454C56" w14:textId="77777777" w:rsidR="000144E7" w:rsidRPr="002C10FB" w:rsidRDefault="000144E7" w:rsidP="00E773FD">
            <w:pPr>
              <w:rPr>
                <w:rFonts w:ascii="Times New Roman" w:hAnsi="Times New Roman" w:cs="Times New Roman"/>
                <w:b w:val="0"/>
                <w:color w:val="auto"/>
                <w:sz w:val="20"/>
                <w:szCs w:val="20"/>
              </w:rPr>
            </w:pPr>
            <w:r w:rsidRPr="002C10FB">
              <w:rPr>
                <w:rFonts w:ascii="Times New Roman" w:hAnsi="Times New Roman" w:cs="Times New Roman"/>
                <w:b w:val="0"/>
                <w:color w:val="auto"/>
                <w:sz w:val="20"/>
                <w:szCs w:val="20"/>
              </w:rPr>
              <w:t xml:space="preserve">Ietekme no mēneša minimālās algas paaugstināšana no 320 </w:t>
            </w:r>
            <w:r w:rsidRPr="002C10FB">
              <w:rPr>
                <w:rFonts w:ascii="Times New Roman" w:hAnsi="Times New Roman" w:cs="Times New Roman"/>
                <w:b w:val="0"/>
                <w:i/>
                <w:color w:val="auto"/>
                <w:sz w:val="20"/>
                <w:szCs w:val="20"/>
              </w:rPr>
              <w:t>euro</w:t>
            </w:r>
            <w:r w:rsidRPr="002C10FB">
              <w:rPr>
                <w:rFonts w:ascii="Times New Roman" w:hAnsi="Times New Roman" w:cs="Times New Roman"/>
                <w:b w:val="0"/>
                <w:color w:val="auto"/>
                <w:sz w:val="20"/>
                <w:szCs w:val="20"/>
              </w:rPr>
              <w:t xml:space="preserve"> līdz 360 </w:t>
            </w:r>
            <w:r w:rsidRPr="002C10FB">
              <w:rPr>
                <w:rFonts w:ascii="Times New Roman" w:hAnsi="Times New Roman" w:cs="Times New Roman"/>
                <w:b w:val="0"/>
                <w:i/>
                <w:color w:val="auto"/>
                <w:sz w:val="20"/>
                <w:szCs w:val="20"/>
              </w:rPr>
              <w:t>euro</w:t>
            </w:r>
          </w:p>
        </w:tc>
        <w:tc>
          <w:tcPr>
            <w:tcW w:w="992" w:type="dxa"/>
            <w:vAlign w:val="center"/>
          </w:tcPr>
          <w:p w14:paraId="6C8E4ED0" w14:textId="77777777" w:rsidR="000144E7" w:rsidRPr="002C10FB" w:rsidRDefault="000144E7" w:rsidP="002C10FB">
            <w:pPr>
              <w:tabs>
                <w:tab w:val="decimal" w:pos="458"/>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C10FB">
              <w:rPr>
                <w:rFonts w:ascii="Times New Roman" w:hAnsi="Times New Roman" w:cs="Times New Roman"/>
                <w:color w:val="auto"/>
                <w:sz w:val="20"/>
                <w:szCs w:val="20"/>
              </w:rPr>
              <w:t>+2,7</w:t>
            </w:r>
          </w:p>
        </w:tc>
        <w:tc>
          <w:tcPr>
            <w:tcW w:w="851" w:type="dxa"/>
            <w:vAlign w:val="center"/>
          </w:tcPr>
          <w:p w14:paraId="2A727E05" w14:textId="77777777" w:rsidR="000144E7" w:rsidRPr="002C10FB" w:rsidRDefault="000144E7" w:rsidP="002C10FB">
            <w:pPr>
              <w:tabs>
                <w:tab w:val="decimal" w:pos="458"/>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679" w:type="dxa"/>
            <w:vAlign w:val="center"/>
          </w:tcPr>
          <w:p w14:paraId="0559546C" w14:textId="77777777" w:rsidR="000144E7" w:rsidRPr="002C10FB" w:rsidRDefault="000144E7" w:rsidP="002C10FB">
            <w:pPr>
              <w:tabs>
                <w:tab w:val="decimal" w:pos="458"/>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738" w:type="dxa"/>
            <w:vAlign w:val="center"/>
          </w:tcPr>
          <w:p w14:paraId="4F08551A" w14:textId="77777777" w:rsidR="000144E7" w:rsidRPr="002C10FB" w:rsidRDefault="000144E7" w:rsidP="002C10FB">
            <w:pPr>
              <w:tabs>
                <w:tab w:val="decimal" w:pos="458"/>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2C10FB" w:rsidRPr="002C10FB" w14:paraId="06EF0769" w14:textId="77777777" w:rsidTr="002C10FB">
        <w:trPr>
          <w:jc w:val="center"/>
        </w:trPr>
        <w:tc>
          <w:tcPr>
            <w:cnfStyle w:val="001000000000" w:firstRow="0" w:lastRow="0" w:firstColumn="1" w:lastColumn="0" w:oddVBand="0" w:evenVBand="0" w:oddHBand="0" w:evenHBand="0" w:firstRowFirstColumn="0" w:firstRowLastColumn="0" w:lastRowFirstColumn="0" w:lastRowLastColumn="0"/>
            <w:tcW w:w="6095" w:type="dxa"/>
          </w:tcPr>
          <w:p w14:paraId="0C685B78" w14:textId="77777777" w:rsidR="000144E7" w:rsidRPr="002C10FB" w:rsidRDefault="000144E7" w:rsidP="00E773FD">
            <w:pPr>
              <w:rPr>
                <w:rFonts w:ascii="Times New Roman" w:hAnsi="Times New Roman" w:cs="Times New Roman"/>
                <w:b w:val="0"/>
                <w:color w:val="auto"/>
                <w:sz w:val="20"/>
                <w:szCs w:val="20"/>
              </w:rPr>
            </w:pPr>
            <w:r w:rsidRPr="002C10FB">
              <w:rPr>
                <w:rFonts w:ascii="Times New Roman" w:hAnsi="Times New Roman" w:cs="Times New Roman"/>
                <w:b w:val="0"/>
                <w:color w:val="auto"/>
                <w:sz w:val="20"/>
                <w:szCs w:val="20"/>
              </w:rPr>
              <w:t>Izmaiņu ietekme kopā:</w:t>
            </w:r>
          </w:p>
        </w:tc>
        <w:tc>
          <w:tcPr>
            <w:tcW w:w="992" w:type="dxa"/>
            <w:vAlign w:val="center"/>
          </w:tcPr>
          <w:p w14:paraId="1A89CD82" w14:textId="77777777" w:rsidR="000144E7" w:rsidRPr="002C10FB" w:rsidRDefault="000144E7" w:rsidP="002C10FB">
            <w:pPr>
              <w:tabs>
                <w:tab w:val="decimal" w:pos="458"/>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2C10FB">
              <w:rPr>
                <w:rFonts w:ascii="Times New Roman" w:hAnsi="Times New Roman" w:cs="Times New Roman"/>
                <w:b/>
                <w:color w:val="auto"/>
                <w:sz w:val="20"/>
                <w:szCs w:val="20"/>
              </w:rPr>
              <w:t>37,5</w:t>
            </w:r>
          </w:p>
        </w:tc>
        <w:tc>
          <w:tcPr>
            <w:tcW w:w="851" w:type="dxa"/>
            <w:vAlign w:val="center"/>
          </w:tcPr>
          <w:p w14:paraId="339DAF92" w14:textId="77777777" w:rsidR="000144E7" w:rsidRPr="002C10FB" w:rsidRDefault="000144E7" w:rsidP="002C10FB">
            <w:pPr>
              <w:tabs>
                <w:tab w:val="decimal" w:pos="458"/>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2C10FB">
              <w:rPr>
                <w:rFonts w:ascii="Times New Roman" w:hAnsi="Times New Roman" w:cs="Times New Roman"/>
                <w:b/>
                <w:color w:val="auto"/>
                <w:sz w:val="20"/>
                <w:szCs w:val="20"/>
              </w:rPr>
              <w:t>2,1</w:t>
            </w:r>
          </w:p>
        </w:tc>
        <w:tc>
          <w:tcPr>
            <w:tcW w:w="679" w:type="dxa"/>
            <w:vAlign w:val="center"/>
          </w:tcPr>
          <w:p w14:paraId="4365487C" w14:textId="77777777" w:rsidR="000144E7" w:rsidRPr="002C10FB" w:rsidRDefault="000144E7" w:rsidP="002C10FB">
            <w:pPr>
              <w:tabs>
                <w:tab w:val="decimal" w:pos="458"/>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2C10FB">
              <w:rPr>
                <w:rFonts w:ascii="Times New Roman" w:hAnsi="Times New Roman" w:cs="Times New Roman"/>
                <w:b/>
                <w:color w:val="auto"/>
                <w:sz w:val="20"/>
                <w:szCs w:val="20"/>
              </w:rPr>
              <w:t>0,8</w:t>
            </w:r>
          </w:p>
        </w:tc>
        <w:tc>
          <w:tcPr>
            <w:tcW w:w="738" w:type="dxa"/>
            <w:vAlign w:val="center"/>
          </w:tcPr>
          <w:p w14:paraId="1F9A8BB9" w14:textId="77777777" w:rsidR="000144E7" w:rsidRPr="002C10FB" w:rsidRDefault="000144E7" w:rsidP="002C10FB">
            <w:pPr>
              <w:tabs>
                <w:tab w:val="decimal" w:pos="458"/>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2C10FB">
              <w:rPr>
                <w:rFonts w:ascii="Times New Roman" w:hAnsi="Times New Roman" w:cs="Times New Roman"/>
                <w:b/>
                <w:color w:val="auto"/>
                <w:sz w:val="20"/>
                <w:szCs w:val="20"/>
              </w:rPr>
              <w:t>0,9</w:t>
            </w:r>
          </w:p>
        </w:tc>
      </w:tr>
    </w:tbl>
    <w:p w14:paraId="5A81790A" w14:textId="77777777" w:rsidR="000144E7" w:rsidRPr="00142A2C" w:rsidRDefault="000144E7" w:rsidP="00142A2C">
      <w:pPr>
        <w:spacing w:before="320" w:after="120" w:line="240" w:lineRule="auto"/>
        <w:ind w:firstLine="709"/>
        <w:jc w:val="both"/>
        <w:rPr>
          <w:rFonts w:ascii="Times New Roman" w:hAnsi="Times New Roman" w:cs="Times New Roman"/>
          <w:b/>
          <w:sz w:val="24"/>
          <w:szCs w:val="24"/>
        </w:rPr>
      </w:pPr>
      <w:r w:rsidRPr="00142A2C">
        <w:rPr>
          <w:rFonts w:ascii="Times New Roman" w:hAnsi="Times New Roman" w:cs="Times New Roman"/>
          <w:b/>
          <w:sz w:val="24"/>
          <w:szCs w:val="24"/>
        </w:rPr>
        <w:t>Uzņēmumu ienākuma nodoklis</w:t>
      </w:r>
    </w:p>
    <w:p w14:paraId="340D6819" w14:textId="6DEC424A" w:rsidR="000144E7" w:rsidRPr="000144E7" w:rsidRDefault="000144E7" w:rsidP="000144E7">
      <w:pPr>
        <w:spacing w:after="60" w:line="240" w:lineRule="auto"/>
        <w:ind w:firstLine="709"/>
        <w:jc w:val="both"/>
        <w:rPr>
          <w:rFonts w:ascii="Times New Roman" w:hAnsi="Times New Roman" w:cs="Times New Roman"/>
          <w:bCs/>
          <w:sz w:val="24"/>
          <w:szCs w:val="24"/>
          <w:lang w:eastAsia="lv-LV"/>
        </w:rPr>
      </w:pPr>
      <w:r w:rsidRPr="000144E7">
        <w:rPr>
          <w:rFonts w:ascii="Times New Roman" w:hAnsi="Times New Roman" w:cs="Times New Roman"/>
          <w:bCs/>
          <w:sz w:val="24"/>
          <w:szCs w:val="24"/>
          <w:lang w:eastAsia="lv-LV"/>
        </w:rPr>
        <w:t>Tiek paredzēts, ka UIN likm</w:t>
      </w:r>
      <w:r w:rsidR="00116EF0">
        <w:rPr>
          <w:rFonts w:ascii="Times New Roman" w:hAnsi="Times New Roman" w:cs="Times New Roman"/>
          <w:bCs/>
          <w:sz w:val="24"/>
          <w:szCs w:val="24"/>
          <w:lang w:eastAsia="lv-LV"/>
        </w:rPr>
        <w:t>e – 15 %, kas ir spēkā no 2004.</w:t>
      </w:r>
      <w:r w:rsidRPr="000144E7">
        <w:rPr>
          <w:rFonts w:ascii="Times New Roman" w:hAnsi="Times New Roman" w:cs="Times New Roman"/>
          <w:bCs/>
          <w:sz w:val="24"/>
          <w:szCs w:val="24"/>
          <w:lang w:eastAsia="lv-LV"/>
        </w:rPr>
        <w:t>gada un ir viena no zemākajām ES, saglabāsies nemainīga. Pēc ekonomiskās lejupslīdes, ekonomikai sekmīgi attīstoties un uzlabojoties uzņēmumu</w:t>
      </w:r>
      <w:r w:rsidR="00116EF0">
        <w:rPr>
          <w:rFonts w:ascii="Times New Roman" w:hAnsi="Times New Roman" w:cs="Times New Roman"/>
          <w:bCs/>
          <w:sz w:val="24"/>
          <w:szCs w:val="24"/>
          <w:lang w:eastAsia="lv-LV"/>
        </w:rPr>
        <w:t xml:space="preserve"> finanšu rādītājiem, kopš 2011.</w:t>
      </w:r>
      <w:r w:rsidRPr="000144E7">
        <w:rPr>
          <w:rFonts w:ascii="Times New Roman" w:hAnsi="Times New Roman" w:cs="Times New Roman"/>
          <w:bCs/>
          <w:sz w:val="24"/>
          <w:szCs w:val="24"/>
          <w:lang w:eastAsia="lv-LV"/>
        </w:rPr>
        <w:t>gada UIN ieņēmumi ir būtiski pieauguši.</w:t>
      </w:r>
    </w:p>
    <w:p w14:paraId="015F5D67" w14:textId="6175C98C" w:rsidR="000144E7" w:rsidRPr="000144E7" w:rsidRDefault="00116EF0" w:rsidP="000144E7">
      <w:pPr>
        <w:spacing w:after="60" w:line="240" w:lineRule="auto"/>
        <w:ind w:firstLine="709"/>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2015.</w:t>
      </w:r>
      <w:r w:rsidR="000144E7" w:rsidRPr="000144E7">
        <w:rPr>
          <w:rFonts w:ascii="Times New Roman" w:hAnsi="Times New Roman" w:cs="Times New Roman"/>
          <w:bCs/>
          <w:sz w:val="24"/>
          <w:szCs w:val="24"/>
          <w:lang w:eastAsia="lv-LV"/>
        </w:rPr>
        <w:t>ga</w:t>
      </w:r>
      <w:r>
        <w:rPr>
          <w:rFonts w:ascii="Times New Roman" w:hAnsi="Times New Roman" w:cs="Times New Roman"/>
          <w:bCs/>
          <w:sz w:val="24"/>
          <w:szCs w:val="24"/>
          <w:lang w:eastAsia="lv-LV"/>
        </w:rPr>
        <w:t>da UIN ieņēmumus ietekmēs 2014.</w:t>
      </w:r>
      <w:r w:rsidR="000144E7" w:rsidRPr="000144E7">
        <w:rPr>
          <w:rFonts w:ascii="Times New Roman" w:hAnsi="Times New Roman" w:cs="Times New Roman"/>
          <w:bCs/>
          <w:sz w:val="24"/>
          <w:szCs w:val="24"/>
          <w:lang w:eastAsia="lv-LV"/>
        </w:rPr>
        <w:t xml:space="preserve">gadā pieņemtās likumdošanas izmaiņas, kas paredz jaunu UIN atlaižu ieviešanu vai esošo atcelšanu, kā arī cīņu ar ēnu ekonomiku un citus pasākumus, lai uzlabotu nodokļu administrēšanu. </w:t>
      </w:r>
    </w:p>
    <w:p w14:paraId="428EF57C" w14:textId="77777777" w:rsidR="000144E7" w:rsidRPr="000144E7" w:rsidRDefault="000144E7" w:rsidP="000144E7">
      <w:pPr>
        <w:spacing w:after="60" w:line="240" w:lineRule="auto"/>
        <w:ind w:firstLine="709"/>
        <w:jc w:val="both"/>
        <w:rPr>
          <w:rFonts w:ascii="Times New Roman" w:hAnsi="Times New Roman" w:cs="Times New Roman"/>
          <w:bCs/>
          <w:sz w:val="24"/>
          <w:szCs w:val="24"/>
          <w:lang w:eastAsia="lv-LV"/>
        </w:rPr>
      </w:pPr>
      <w:r w:rsidRPr="000144E7">
        <w:rPr>
          <w:rFonts w:ascii="Times New Roman" w:hAnsi="Times New Roman" w:cs="Times New Roman"/>
          <w:bCs/>
          <w:sz w:val="24"/>
          <w:szCs w:val="24"/>
          <w:lang w:eastAsia="lv-LV"/>
        </w:rPr>
        <w:t>Visbūtiskākās un fiskāli ietilpīgākās likumdošanas izmaiņas paredz UIN atlaižu ieviešanu vai atcelšanu:</w:t>
      </w:r>
    </w:p>
    <w:p w14:paraId="016C7151" w14:textId="4880BD30" w:rsidR="000144E7" w:rsidRPr="000144E7" w:rsidRDefault="000144E7" w:rsidP="008920E5">
      <w:pPr>
        <w:numPr>
          <w:ilvl w:val="0"/>
          <w:numId w:val="8"/>
        </w:numPr>
        <w:spacing w:after="60" w:line="240" w:lineRule="auto"/>
        <w:ind w:left="1134"/>
        <w:jc w:val="both"/>
        <w:rPr>
          <w:rFonts w:ascii="Times New Roman" w:hAnsi="Times New Roman" w:cs="Times New Roman"/>
          <w:sz w:val="24"/>
          <w:szCs w:val="24"/>
        </w:rPr>
      </w:pPr>
      <w:r w:rsidRPr="000144E7">
        <w:rPr>
          <w:rFonts w:ascii="Times New Roman" w:hAnsi="Times New Roman" w:cs="Times New Roman"/>
          <w:sz w:val="24"/>
          <w:szCs w:val="24"/>
          <w:lang w:eastAsia="lv-LV"/>
        </w:rPr>
        <w:t xml:space="preserve">lai veicinātu investīcijas un ieguldījumus pētniecībā un attīstībā ir </w:t>
      </w:r>
      <w:r w:rsidR="00116EF0">
        <w:rPr>
          <w:rFonts w:ascii="Times New Roman" w:hAnsi="Times New Roman" w:cs="Times New Roman"/>
          <w:sz w:val="24"/>
          <w:szCs w:val="24"/>
        </w:rPr>
        <w:t>pagarināta iespēja (līdz 2020.</w:t>
      </w:r>
      <w:r w:rsidRPr="000144E7">
        <w:rPr>
          <w:rFonts w:ascii="Times New Roman" w:hAnsi="Times New Roman" w:cs="Times New Roman"/>
          <w:sz w:val="24"/>
          <w:szCs w:val="24"/>
        </w:rPr>
        <w:t>gadam) piemērot nodokļa atvieglojumu jaunajām ražošanas tehnoloģiskajām iekārtām (piemērojot koeficientu 1,5);</w:t>
      </w:r>
    </w:p>
    <w:p w14:paraId="3843D225" w14:textId="1CB7E65F" w:rsidR="000144E7" w:rsidRPr="000144E7" w:rsidRDefault="00116EF0" w:rsidP="008920E5">
      <w:pPr>
        <w:numPr>
          <w:ilvl w:val="0"/>
          <w:numId w:val="8"/>
        </w:numPr>
        <w:spacing w:after="60" w:line="240" w:lineRule="auto"/>
        <w:ind w:left="1134"/>
        <w:jc w:val="both"/>
        <w:rPr>
          <w:rFonts w:ascii="Times New Roman" w:hAnsi="Times New Roman" w:cs="Times New Roman"/>
          <w:sz w:val="24"/>
          <w:szCs w:val="24"/>
        </w:rPr>
      </w:pPr>
      <w:r>
        <w:rPr>
          <w:rFonts w:ascii="Times New Roman" w:hAnsi="Times New Roman" w:cs="Times New Roman"/>
          <w:sz w:val="24"/>
          <w:szCs w:val="24"/>
        </w:rPr>
        <w:t>sākot ar 2014.gada 1.j</w:t>
      </w:r>
      <w:r w:rsidR="000144E7" w:rsidRPr="000144E7">
        <w:rPr>
          <w:rFonts w:ascii="Times New Roman" w:hAnsi="Times New Roman" w:cs="Times New Roman"/>
          <w:sz w:val="24"/>
          <w:szCs w:val="24"/>
        </w:rPr>
        <w:t>ūliju tiks ieviests atvieglojums, kas paredz iespēju noteiktām pētniecības un attīstības izmaksām piemērot koeficientu 3;</w:t>
      </w:r>
    </w:p>
    <w:p w14:paraId="1CE1A53E" w14:textId="61F43E8F" w:rsidR="000144E7" w:rsidRPr="000144E7" w:rsidRDefault="000144E7" w:rsidP="008920E5">
      <w:pPr>
        <w:numPr>
          <w:ilvl w:val="0"/>
          <w:numId w:val="8"/>
        </w:numPr>
        <w:spacing w:after="60" w:line="240" w:lineRule="auto"/>
        <w:ind w:left="1134"/>
        <w:jc w:val="both"/>
        <w:rPr>
          <w:rFonts w:ascii="Times New Roman" w:hAnsi="Times New Roman" w:cs="Times New Roman"/>
          <w:sz w:val="24"/>
          <w:szCs w:val="24"/>
        </w:rPr>
      </w:pPr>
      <w:r w:rsidRPr="000144E7">
        <w:rPr>
          <w:rFonts w:ascii="Times New Roman" w:hAnsi="Times New Roman" w:cs="Times New Roman"/>
          <w:sz w:val="24"/>
          <w:szCs w:val="24"/>
        </w:rPr>
        <w:t>ir</w:t>
      </w:r>
      <w:r w:rsidR="00116EF0">
        <w:rPr>
          <w:rFonts w:ascii="Times New Roman" w:hAnsi="Times New Roman" w:cs="Times New Roman"/>
          <w:sz w:val="24"/>
          <w:szCs w:val="24"/>
        </w:rPr>
        <w:t xml:space="preserve"> pagarināts termiņš (līdz 2020.</w:t>
      </w:r>
      <w:r w:rsidRPr="000144E7">
        <w:rPr>
          <w:rFonts w:ascii="Times New Roman" w:hAnsi="Times New Roman" w:cs="Times New Roman"/>
          <w:sz w:val="24"/>
          <w:szCs w:val="24"/>
        </w:rPr>
        <w:t xml:space="preserve">gadam) nodokļa atlaidēm par veiktajiem ieguldījumiem atbalstāmajos projektos, vienlaikus nosakot minimālo ieguldījuma apmēru 10 miljonu </w:t>
      </w:r>
      <w:r w:rsidRPr="000144E7">
        <w:rPr>
          <w:rFonts w:ascii="Times New Roman" w:hAnsi="Times New Roman" w:cs="Times New Roman"/>
          <w:i/>
          <w:iCs/>
          <w:sz w:val="24"/>
          <w:szCs w:val="24"/>
        </w:rPr>
        <w:t>euro</w:t>
      </w:r>
      <w:r w:rsidRPr="000144E7">
        <w:rPr>
          <w:rFonts w:ascii="Times New Roman" w:hAnsi="Times New Roman" w:cs="Times New Roman"/>
          <w:sz w:val="24"/>
          <w:szCs w:val="24"/>
        </w:rPr>
        <w:t xml:space="preserve"> apmērā;</w:t>
      </w:r>
    </w:p>
    <w:p w14:paraId="178D0BA0" w14:textId="0C097529" w:rsidR="000144E7" w:rsidRPr="000144E7" w:rsidRDefault="00116EF0" w:rsidP="008920E5">
      <w:pPr>
        <w:numPr>
          <w:ilvl w:val="0"/>
          <w:numId w:val="8"/>
        </w:numPr>
        <w:spacing w:after="60" w:line="240" w:lineRule="auto"/>
        <w:ind w:left="1134"/>
        <w:jc w:val="both"/>
        <w:rPr>
          <w:rFonts w:ascii="Times New Roman" w:hAnsi="Times New Roman" w:cs="Times New Roman"/>
          <w:sz w:val="24"/>
          <w:szCs w:val="24"/>
        </w:rPr>
      </w:pPr>
      <w:r>
        <w:rPr>
          <w:rFonts w:ascii="Times New Roman" w:hAnsi="Times New Roman" w:cs="Times New Roman"/>
          <w:sz w:val="24"/>
          <w:szCs w:val="24"/>
        </w:rPr>
        <w:t>2014.</w:t>
      </w:r>
      <w:r w:rsidR="000144E7" w:rsidRPr="000144E7">
        <w:rPr>
          <w:rFonts w:ascii="Times New Roman" w:hAnsi="Times New Roman" w:cs="Times New Roman"/>
          <w:sz w:val="24"/>
          <w:szCs w:val="24"/>
        </w:rPr>
        <w:t>gadā tika atcelti tādi atvieglojumi kā nodokļa atvieglojums (apliekamā ienākuma samazinājums) par nosacītu kredītprocentu summu un iespēja pārnest zaudējumus uzņēmumu grupā;</w:t>
      </w:r>
    </w:p>
    <w:p w14:paraId="1903B346" w14:textId="5105CE08" w:rsidR="000144E7" w:rsidRPr="000144E7" w:rsidRDefault="00116EF0" w:rsidP="008920E5">
      <w:pPr>
        <w:numPr>
          <w:ilvl w:val="0"/>
          <w:numId w:val="8"/>
        </w:numPr>
        <w:spacing w:after="60" w:line="240" w:lineRule="auto"/>
        <w:ind w:left="1134"/>
        <w:jc w:val="both"/>
        <w:rPr>
          <w:rFonts w:ascii="Times New Roman" w:hAnsi="Times New Roman" w:cs="Times New Roman"/>
          <w:sz w:val="24"/>
          <w:szCs w:val="24"/>
        </w:rPr>
      </w:pPr>
      <w:r>
        <w:rPr>
          <w:rFonts w:ascii="Times New Roman" w:hAnsi="Times New Roman" w:cs="Times New Roman"/>
          <w:sz w:val="24"/>
          <w:szCs w:val="24"/>
        </w:rPr>
        <w:t>no 2015.gada 1.</w:t>
      </w:r>
      <w:r w:rsidR="000144E7" w:rsidRPr="000144E7">
        <w:rPr>
          <w:rFonts w:ascii="Times New Roman" w:hAnsi="Times New Roman" w:cs="Times New Roman"/>
          <w:sz w:val="24"/>
          <w:szCs w:val="24"/>
        </w:rPr>
        <w:t>janvāra tiks atcelts esošais mazāk atbalstāmais atvieglojums pētniecības un attīstības izmaksām;</w:t>
      </w:r>
    </w:p>
    <w:p w14:paraId="4F85940E" w14:textId="4833EEFA" w:rsidR="000144E7" w:rsidRPr="00142A2C" w:rsidRDefault="00116EF0" w:rsidP="00142A2C">
      <w:pPr>
        <w:numPr>
          <w:ilvl w:val="0"/>
          <w:numId w:val="8"/>
        </w:numPr>
        <w:spacing w:after="60" w:line="240" w:lineRule="auto"/>
        <w:ind w:left="1134"/>
        <w:jc w:val="both"/>
        <w:rPr>
          <w:rFonts w:ascii="Times New Roman" w:hAnsi="Times New Roman" w:cs="Times New Roman"/>
          <w:sz w:val="24"/>
          <w:szCs w:val="24"/>
        </w:rPr>
      </w:pPr>
      <w:r>
        <w:rPr>
          <w:rFonts w:ascii="Times New Roman" w:hAnsi="Times New Roman" w:cs="Times New Roman"/>
          <w:sz w:val="24"/>
          <w:szCs w:val="24"/>
        </w:rPr>
        <w:t>no 2017.gada 1.</w:t>
      </w:r>
      <w:r w:rsidR="000144E7" w:rsidRPr="000144E7">
        <w:rPr>
          <w:rFonts w:ascii="Times New Roman" w:hAnsi="Times New Roman" w:cs="Times New Roman"/>
          <w:sz w:val="24"/>
          <w:szCs w:val="24"/>
        </w:rPr>
        <w:t>janvāra tiks atcelts nodokļa atvieglojums par saņemtajām subsīdijām lauksaimniecībai.</w:t>
      </w:r>
    </w:p>
    <w:p w14:paraId="528DCCA7" w14:textId="67B0EA34" w:rsidR="000144E7" w:rsidRPr="00745BFC" w:rsidRDefault="00C81719" w:rsidP="005812B4">
      <w:pPr>
        <w:pStyle w:val="T"/>
        <w:spacing w:before="240"/>
        <w:ind w:left="0"/>
        <w:jc w:val="right"/>
        <w:rPr>
          <w:rFonts w:ascii="Times New Roman" w:hAnsi="Times New Roman"/>
          <w:i/>
          <w:szCs w:val="24"/>
        </w:rPr>
      </w:pPr>
      <w:r>
        <w:rPr>
          <w:rFonts w:ascii="Times New Roman" w:hAnsi="Times New Roman"/>
        </w:rPr>
        <w:t>6.3.</w:t>
      </w:r>
      <w:r w:rsidR="000144E7" w:rsidRPr="00745BFC">
        <w:rPr>
          <w:rFonts w:ascii="Times New Roman" w:hAnsi="Times New Roman"/>
        </w:rPr>
        <w:t>tabula. Nodokļu politikas būtiskāko izm</w:t>
      </w:r>
      <w:r w:rsidR="00142A2C">
        <w:rPr>
          <w:rFonts w:ascii="Times New Roman" w:hAnsi="Times New Roman"/>
        </w:rPr>
        <w:t xml:space="preserve">aiņu ietekme uz UIN ieņēmumiem, </w:t>
      </w:r>
      <w:r w:rsidR="000144E7" w:rsidRPr="00745BFC">
        <w:rPr>
          <w:rFonts w:ascii="Times New Roman" w:hAnsi="Times New Roman"/>
        </w:rPr>
        <w:t>milj. </w:t>
      </w:r>
      <w:r w:rsidR="000144E7" w:rsidRPr="00745BFC">
        <w:rPr>
          <w:rFonts w:ascii="Times New Roman" w:hAnsi="Times New Roman"/>
          <w:i/>
          <w:szCs w:val="24"/>
        </w:rPr>
        <w:t>euro</w:t>
      </w:r>
    </w:p>
    <w:tbl>
      <w:tblPr>
        <w:tblStyle w:val="GridTable6ColorfulAccent1"/>
        <w:tblW w:w="9180" w:type="dxa"/>
        <w:jc w:val="center"/>
        <w:tblLayout w:type="fixed"/>
        <w:tblLook w:val="04A0" w:firstRow="1" w:lastRow="0" w:firstColumn="1" w:lastColumn="0" w:noHBand="0" w:noVBand="1"/>
      </w:tblPr>
      <w:tblGrid>
        <w:gridCol w:w="5778"/>
        <w:gridCol w:w="1134"/>
        <w:gridCol w:w="1134"/>
        <w:gridCol w:w="1134"/>
      </w:tblGrid>
      <w:tr w:rsidR="002C10FB" w:rsidRPr="00E055A8" w14:paraId="62D22548" w14:textId="77777777" w:rsidTr="00E055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Pr>
          <w:p w14:paraId="24F10E44" w14:textId="77777777" w:rsidR="000144E7" w:rsidRPr="00E055A8" w:rsidRDefault="000144E7" w:rsidP="00E773FD">
            <w:pPr>
              <w:rPr>
                <w:rFonts w:ascii="Times New Roman" w:hAnsi="Times New Roman" w:cs="Times New Roman"/>
                <w:color w:val="auto"/>
                <w:sz w:val="20"/>
                <w:szCs w:val="20"/>
              </w:rPr>
            </w:pPr>
          </w:p>
        </w:tc>
        <w:tc>
          <w:tcPr>
            <w:tcW w:w="1134" w:type="dxa"/>
          </w:tcPr>
          <w:p w14:paraId="4EBD1A3F" w14:textId="77777777" w:rsidR="000144E7" w:rsidRPr="00E055A8" w:rsidRDefault="000144E7" w:rsidP="00E773FD">
            <w:pPr>
              <w:tabs>
                <w:tab w:val="decimal" w:pos="-1211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055A8">
              <w:rPr>
                <w:rFonts w:ascii="Times New Roman" w:hAnsi="Times New Roman" w:cs="Times New Roman"/>
                <w:color w:val="auto"/>
                <w:sz w:val="20"/>
                <w:szCs w:val="20"/>
              </w:rPr>
              <w:t>2015</w:t>
            </w:r>
          </w:p>
        </w:tc>
        <w:tc>
          <w:tcPr>
            <w:tcW w:w="1134" w:type="dxa"/>
          </w:tcPr>
          <w:p w14:paraId="47A4D108" w14:textId="77777777" w:rsidR="000144E7" w:rsidRPr="00E055A8" w:rsidRDefault="000144E7" w:rsidP="00E773FD">
            <w:pPr>
              <w:tabs>
                <w:tab w:val="decimal" w:pos="-1211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055A8">
              <w:rPr>
                <w:rFonts w:ascii="Times New Roman" w:hAnsi="Times New Roman" w:cs="Times New Roman"/>
                <w:color w:val="auto"/>
                <w:sz w:val="20"/>
                <w:szCs w:val="20"/>
              </w:rPr>
              <w:t>2016</w:t>
            </w:r>
          </w:p>
        </w:tc>
        <w:tc>
          <w:tcPr>
            <w:tcW w:w="1134" w:type="dxa"/>
          </w:tcPr>
          <w:p w14:paraId="18F3FA33" w14:textId="77777777" w:rsidR="000144E7" w:rsidRPr="00E055A8" w:rsidRDefault="000144E7" w:rsidP="00E773FD">
            <w:pPr>
              <w:tabs>
                <w:tab w:val="decimal" w:pos="-1211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055A8">
              <w:rPr>
                <w:rFonts w:ascii="Times New Roman" w:hAnsi="Times New Roman" w:cs="Times New Roman"/>
                <w:color w:val="auto"/>
                <w:sz w:val="20"/>
                <w:szCs w:val="20"/>
              </w:rPr>
              <w:t>2017</w:t>
            </w:r>
          </w:p>
        </w:tc>
      </w:tr>
      <w:tr w:rsidR="002C10FB" w:rsidRPr="00E055A8" w14:paraId="2D491CD3" w14:textId="77777777" w:rsidTr="00E055A8">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5778" w:type="dxa"/>
          </w:tcPr>
          <w:p w14:paraId="32ED222F" w14:textId="77777777" w:rsidR="000144E7" w:rsidRPr="00E055A8" w:rsidRDefault="000144E7" w:rsidP="00E773FD">
            <w:pPr>
              <w:pStyle w:val="tabteksts"/>
              <w:rPr>
                <w:b w:val="0"/>
                <w:color w:val="auto"/>
              </w:rPr>
            </w:pPr>
            <w:r w:rsidRPr="00E055A8">
              <w:rPr>
                <w:b w:val="0"/>
                <w:color w:val="auto"/>
              </w:rPr>
              <w:t>UIN atlaižu ieviešana vai atcelšana</w:t>
            </w:r>
          </w:p>
        </w:tc>
        <w:tc>
          <w:tcPr>
            <w:tcW w:w="1134" w:type="dxa"/>
            <w:vAlign w:val="center"/>
          </w:tcPr>
          <w:p w14:paraId="4E45358C" w14:textId="77777777" w:rsidR="000144E7" w:rsidRPr="00E055A8" w:rsidRDefault="000144E7" w:rsidP="00E055A8">
            <w:pPr>
              <w:tabs>
                <w:tab w:val="decimal" w:pos="458"/>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E055A8">
              <w:rPr>
                <w:rFonts w:ascii="Times New Roman" w:hAnsi="Times New Roman" w:cs="Times New Roman"/>
                <w:color w:val="auto"/>
                <w:sz w:val="20"/>
                <w:szCs w:val="20"/>
              </w:rPr>
              <w:t>+14,1</w:t>
            </w:r>
          </w:p>
        </w:tc>
        <w:tc>
          <w:tcPr>
            <w:tcW w:w="1134" w:type="dxa"/>
            <w:vAlign w:val="center"/>
          </w:tcPr>
          <w:p w14:paraId="502418D8" w14:textId="77777777" w:rsidR="000144E7" w:rsidRPr="00E055A8" w:rsidRDefault="000144E7" w:rsidP="00E055A8">
            <w:pPr>
              <w:tabs>
                <w:tab w:val="decimal" w:pos="458"/>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E055A8">
              <w:rPr>
                <w:rFonts w:ascii="Times New Roman" w:hAnsi="Times New Roman" w:cs="Times New Roman"/>
                <w:color w:val="auto"/>
                <w:sz w:val="20"/>
                <w:szCs w:val="20"/>
              </w:rPr>
              <w:t>+0,03</w:t>
            </w:r>
          </w:p>
        </w:tc>
        <w:tc>
          <w:tcPr>
            <w:tcW w:w="1134" w:type="dxa"/>
            <w:vAlign w:val="center"/>
          </w:tcPr>
          <w:p w14:paraId="13DA0045" w14:textId="77777777" w:rsidR="000144E7" w:rsidRPr="00E055A8" w:rsidRDefault="000144E7" w:rsidP="00E055A8">
            <w:pPr>
              <w:tabs>
                <w:tab w:val="decimal" w:pos="458"/>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2C10FB" w:rsidRPr="00E055A8" w14:paraId="64AA9C5C"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5778" w:type="dxa"/>
          </w:tcPr>
          <w:p w14:paraId="68E3A89C" w14:textId="77777777" w:rsidR="000144E7" w:rsidRPr="00E055A8" w:rsidRDefault="000144E7" w:rsidP="00E773FD">
            <w:pPr>
              <w:pStyle w:val="tabteksts"/>
              <w:rPr>
                <w:b w:val="0"/>
                <w:color w:val="auto"/>
              </w:rPr>
            </w:pPr>
            <w:r w:rsidRPr="00E055A8">
              <w:rPr>
                <w:b w:val="0"/>
                <w:color w:val="auto"/>
              </w:rPr>
              <w:t>Atvieglots UIN režīms augstskolām, koledžām un zinātniskajām institūcijām</w:t>
            </w:r>
          </w:p>
        </w:tc>
        <w:tc>
          <w:tcPr>
            <w:tcW w:w="1134" w:type="dxa"/>
            <w:vAlign w:val="center"/>
          </w:tcPr>
          <w:p w14:paraId="00C86056" w14:textId="77777777" w:rsidR="000144E7" w:rsidRPr="00E055A8" w:rsidRDefault="000144E7" w:rsidP="00E055A8">
            <w:pPr>
              <w:tabs>
                <w:tab w:val="decimal" w:pos="458"/>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055A8">
              <w:rPr>
                <w:rFonts w:ascii="Times New Roman" w:hAnsi="Times New Roman" w:cs="Times New Roman"/>
                <w:color w:val="auto"/>
                <w:sz w:val="20"/>
                <w:szCs w:val="20"/>
              </w:rPr>
              <w:t>-0,7</w:t>
            </w:r>
          </w:p>
        </w:tc>
        <w:tc>
          <w:tcPr>
            <w:tcW w:w="1134" w:type="dxa"/>
            <w:vAlign w:val="center"/>
          </w:tcPr>
          <w:p w14:paraId="222479CB" w14:textId="77777777" w:rsidR="000144E7" w:rsidRPr="00E055A8" w:rsidRDefault="000144E7" w:rsidP="00E055A8">
            <w:pPr>
              <w:tabs>
                <w:tab w:val="decimal" w:pos="458"/>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134" w:type="dxa"/>
            <w:vAlign w:val="center"/>
          </w:tcPr>
          <w:p w14:paraId="6C611D36" w14:textId="77777777" w:rsidR="000144E7" w:rsidRPr="00E055A8" w:rsidRDefault="000144E7" w:rsidP="00E055A8">
            <w:pPr>
              <w:tabs>
                <w:tab w:val="decimal" w:pos="458"/>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2C10FB" w:rsidRPr="00E055A8" w14:paraId="2FDCD557" w14:textId="77777777" w:rsidTr="00E055A8">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778" w:type="dxa"/>
          </w:tcPr>
          <w:p w14:paraId="003D61B3" w14:textId="77777777" w:rsidR="000144E7" w:rsidRPr="00E055A8" w:rsidRDefault="000144E7" w:rsidP="00E773FD">
            <w:pPr>
              <w:pStyle w:val="tabteksts"/>
              <w:rPr>
                <w:b w:val="0"/>
                <w:color w:val="auto"/>
              </w:rPr>
            </w:pPr>
            <w:r w:rsidRPr="00E055A8">
              <w:rPr>
                <w:b w:val="0"/>
                <w:color w:val="auto"/>
              </w:rPr>
              <w:t>Cīņa ar ēnu ekonomiku un citi pasākumi, lai uzlabotu nodokļu administrēšanu (nodokļu administrēšanas uzlabošanas pasākumi, informācijas apmaiņas procesa uzlabošana starp finanšu iestādēm, Noziedzīgi iegūtu līdzekļu legalizācijas novēršanas dienestu un Valsts ieņēmumu dienestu u.c. pasākumi)</w:t>
            </w:r>
          </w:p>
        </w:tc>
        <w:tc>
          <w:tcPr>
            <w:tcW w:w="1134" w:type="dxa"/>
            <w:vAlign w:val="center"/>
          </w:tcPr>
          <w:p w14:paraId="4DD9AF32" w14:textId="77777777" w:rsidR="000144E7" w:rsidRPr="00E055A8" w:rsidRDefault="000144E7" w:rsidP="00E055A8">
            <w:pPr>
              <w:tabs>
                <w:tab w:val="decimal" w:pos="458"/>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E055A8">
              <w:rPr>
                <w:rFonts w:ascii="Times New Roman" w:hAnsi="Times New Roman" w:cs="Times New Roman"/>
                <w:color w:val="auto"/>
                <w:sz w:val="20"/>
                <w:szCs w:val="20"/>
              </w:rPr>
              <w:t>+8,9</w:t>
            </w:r>
          </w:p>
        </w:tc>
        <w:tc>
          <w:tcPr>
            <w:tcW w:w="1134" w:type="dxa"/>
            <w:vAlign w:val="center"/>
          </w:tcPr>
          <w:p w14:paraId="33230096" w14:textId="77777777" w:rsidR="000144E7" w:rsidRPr="00E055A8" w:rsidRDefault="000144E7" w:rsidP="00E055A8">
            <w:pPr>
              <w:tabs>
                <w:tab w:val="decimal" w:pos="458"/>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E055A8">
              <w:rPr>
                <w:rFonts w:ascii="Times New Roman" w:hAnsi="Times New Roman" w:cs="Times New Roman"/>
                <w:color w:val="auto"/>
                <w:sz w:val="20"/>
                <w:szCs w:val="20"/>
              </w:rPr>
              <w:t>+1,9</w:t>
            </w:r>
          </w:p>
        </w:tc>
        <w:tc>
          <w:tcPr>
            <w:tcW w:w="1134" w:type="dxa"/>
            <w:vAlign w:val="center"/>
          </w:tcPr>
          <w:p w14:paraId="60DA402C" w14:textId="77777777" w:rsidR="000144E7" w:rsidRPr="00E055A8" w:rsidRDefault="000144E7" w:rsidP="00E055A8">
            <w:pPr>
              <w:tabs>
                <w:tab w:val="decimal" w:pos="458"/>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E055A8">
              <w:rPr>
                <w:rFonts w:ascii="Times New Roman" w:hAnsi="Times New Roman" w:cs="Times New Roman"/>
                <w:color w:val="auto"/>
                <w:sz w:val="20"/>
                <w:szCs w:val="20"/>
              </w:rPr>
              <w:t>+1,0</w:t>
            </w:r>
          </w:p>
        </w:tc>
      </w:tr>
      <w:tr w:rsidR="002C10FB" w:rsidRPr="00E055A8" w14:paraId="3D056AFF"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5778" w:type="dxa"/>
          </w:tcPr>
          <w:p w14:paraId="45F14006" w14:textId="77777777" w:rsidR="000144E7" w:rsidRPr="00E055A8" w:rsidRDefault="000144E7" w:rsidP="00E773FD">
            <w:pPr>
              <w:rPr>
                <w:rFonts w:ascii="Times New Roman" w:hAnsi="Times New Roman" w:cs="Times New Roman"/>
                <w:b w:val="0"/>
                <w:color w:val="auto"/>
                <w:sz w:val="20"/>
                <w:szCs w:val="20"/>
              </w:rPr>
            </w:pPr>
            <w:r w:rsidRPr="00E055A8">
              <w:rPr>
                <w:rFonts w:ascii="Times New Roman" w:hAnsi="Times New Roman" w:cs="Times New Roman"/>
                <w:b w:val="0"/>
                <w:color w:val="auto"/>
                <w:sz w:val="20"/>
                <w:szCs w:val="20"/>
              </w:rPr>
              <w:t>Izmaiņu ietekme kopā:</w:t>
            </w:r>
          </w:p>
        </w:tc>
        <w:tc>
          <w:tcPr>
            <w:tcW w:w="1134" w:type="dxa"/>
            <w:vAlign w:val="center"/>
          </w:tcPr>
          <w:p w14:paraId="533202B7" w14:textId="77777777" w:rsidR="000144E7" w:rsidRPr="00E055A8" w:rsidRDefault="000144E7" w:rsidP="00E055A8">
            <w:pPr>
              <w:tabs>
                <w:tab w:val="decimal" w:pos="458"/>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E055A8">
              <w:rPr>
                <w:rFonts w:ascii="Times New Roman" w:hAnsi="Times New Roman" w:cs="Times New Roman"/>
                <w:b/>
                <w:color w:val="auto"/>
                <w:sz w:val="20"/>
                <w:szCs w:val="20"/>
              </w:rPr>
              <w:t>+22,3</w:t>
            </w:r>
          </w:p>
        </w:tc>
        <w:tc>
          <w:tcPr>
            <w:tcW w:w="1134" w:type="dxa"/>
            <w:vAlign w:val="center"/>
          </w:tcPr>
          <w:p w14:paraId="409F0CD5" w14:textId="77777777" w:rsidR="000144E7" w:rsidRPr="00E055A8" w:rsidRDefault="000144E7" w:rsidP="00E055A8">
            <w:pPr>
              <w:tabs>
                <w:tab w:val="decimal" w:pos="458"/>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E055A8">
              <w:rPr>
                <w:rFonts w:ascii="Times New Roman" w:hAnsi="Times New Roman" w:cs="Times New Roman"/>
                <w:b/>
                <w:color w:val="auto"/>
                <w:sz w:val="20"/>
                <w:szCs w:val="20"/>
              </w:rPr>
              <w:t>+1,9</w:t>
            </w:r>
          </w:p>
        </w:tc>
        <w:tc>
          <w:tcPr>
            <w:tcW w:w="1134" w:type="dxa"/>
            <w:vAlign w:val="center"/>
          </w:tcPr>
          <w:p w14:paraId="30BC25DD" w14:textId="77777777" w:rsidR="000144E7" w:rsidRPr="00E055A8" w:rsidRDefault="000144E7" w:rsidP="00E055A8">
            <w:pPr>
              <w:tabs>
                <w:tab w:val="decimal" w:pos="458"/>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E055A8">
              <w:rPr>
                <w:rFonts w:ascii="Times New Roman" w:hAnsi="Times New Roman" w:cs="Times New Roman"/>
                <w:b/>
                <w:color w:val="auto"/>
                <w:sz w:val="20"/>
                <w:szCs w:val="20"/>
              </w:rPr>
              <w:t>+1,0</w:t>
            </w:r>
          </w:p>
        </w:tc>
      </w:tr>
    </w:tbl>
    <w:p w14:paraId="11710E45" w14:textId="12458BE4" w:rsidR="000144E7" w:rsidRPr="00745BFC" w:rsidRDefault="000144E7" w:rsidP="00116EF0">
      <w:pPr>
        <w:pStyle w:val="ListParagraph"/>
        <w:spacing w:before="120" w:after="60" w:line="240" w:lineRule="auto"/>
        <w:ind w:left="0" w:firstLine="567"/>
        <w:contextualSpacing w:val="0"/>
        <w:jc w:val="both"/>
        <w:rPr>
          <w:rFonts w:ascii="Times New Roman" w:hAnsi="Times New Roman"/>
          <w:color w:val="000000"/>
          <w:sz w:val="24"/>
          <w:szCs w:val="24"/>
        </w:rPr>
      </w:pPr>
      <w:r w:rsidRPr="00745BFC">
        <w:rPr>
          <w:rFonts w:ascii="Times New Roman" w:hAnsi="Times New Roman"/>
          <w:color w:val="000000"/>
          <w:sz w:val="24"/>
          <w:szCs w:val="24"/>
        </w:rPr>
        <w:t>Papildus iepriekš minētajām likuma „Par uzņēmumu ienākuma nodokli” likumdošanas izmaiņas ar 2015.gadu paredz arī citus pasākumus, kuriem nav būtiskas ietekmes uz nodokļu ieņēmumiem:</w:t>
      </w:r>
    </w:p>
    <w:p w14:paraId="393D1E4C" w14:textId="24A0862B" w:rsidR="000144E7" w:rsidRPr="00745BFC" w:rsidRDefault="000144E7" w:rsidP="008920E5">
      <w:pPr>
        <w:pStyle w:val="ListParagraph"/>
        <w:numPr>
          <w:ilvl w:val="0"/>
          <w:numId w:val="11"/>
        </w:numPr>
        <w:spacing w:after="60" w:line="240" w:lineRule="auto"/>
        <w:ind w:left="1134"/>
        <w:contextualSpacing w:val="0"/>
        <w:jc w:val="both"/>
        <w:rPr>
          <w:rFonts w:ascii="Times New Roman" w:hAnsi="Times New Roman"/>
          <w:sz w:val="24"/>
          <w:szCs w:val="24"/>
        </w:rPr>
      </w:pPr>
      <w:r w:rsidRPr="00745BFC">
        <w:rPr>
          <w:rFonts w:ascii="Times New Roman" w:hAnsi="Times New Roman"/>
          <w:sz w:val="24"/>
          <w:szCs w:val="24"/>
        </w:rPr>
        <w:t xml:space="preserve">lai novērstu nevienlīdzīgu pieeju </w:t>
      </w:r>
      <w:r w:rsidR="00116EF0">
        <w:rPr>
          <w:rFonts w:ascii="Times New Roman" w:hAnsi="Times New Roman"/>
          <w:sz w:val="24"/>
          <w:szCs w:val="24"/>
        </w:rPr>
        <w:t>UIN</w:t>
      </w:r>
      <w:r w:rsidRPr="00745BFC">
        <w:rPr>
          <w:rFonts w:ascii="Times New Roman" w:hAnsi="Times New Roman"/>
          <w:sz w:val="24"/>
          <w:szCs w:val="24"/>
        </w:rPr>
        <w:t xml:space="preserve"> piemērošanai nerezidentu gūtajam ienākumam no sniegtajiem vadības un konsultatīvajiem pakalpojumiem, kā arī no Latvijā esoša īpašuma izmantošanas, nerezidentam tiek nodrošinātas tiesības, iesniedzot nodokļa aprēķina pārskatu par minēto ienākumu (ienākumu, kas gūts sākot ar 2015.gada 1.janvāri), veikt nodokļa samaksu no apliekamā ienākuma, kas samazināts par izdevumiem, kas saitīti ar šo ienākumu gūšanu un piemērojot 15% likmi; </w:t>
      </w:r>
    </w:p>
    <w:p w14:paraId="78C00A0B" w14:textId="75B2B7EA" w:rsidR="000144E7" w:rsidRPr="00745BFC" w:rsidRDefault="000144E7" w:rsidP="008920E5">
      <w:pPr>
        <w:pStyle w:val="ListParagraph"/>
        <w:numPr>
          <w:ilvl w:val="0"/>
          <w:numId w:val="11"/>
        </w:numPr>
        <w:spacing w:after="60" w:line="240" w:lineRule="auto"/>
        <w:ind w:left="1134"/>
        <w:contextualSpacing w:val="0"/>
        <w:jc w:val="both"/>
        <w:rPr>
          <w:rFonts w:ascii="Times New Roman" w:hAnsi="Times New Roman"/>
          <w:sz w:val="24"/>
          <w:szCs w:val="24"/>
        </w:rPr>
      </w:pPr>
      <w:r w:rsidRPr="00745BFC">
        <w:rPr>
          <w:rFonts w:ascii="Times New Roman" w:hAnsi="Times New Roman"/>
          <w:sz w:val="24"/>
          <w:szCs w:val="24"/>
        </w:rPr>
        <w:t>likuma normas paredz personālsabiedrības sadalāmajā peļņas daļā, kas aprēķināta par taksācijas periodu, kas sākās 2015.gada 1.janvārī un turpmākajos periodos, attiecībā uz fizisko personu iekļaut arī tāda v</w:t>
      </w:r>
      <w:r w:rsidR="00116EF0">
        <w:rPr>
          <w:rFonts w:ascii="Times New Roman" w:hAnsi="Times New Roman"/>
          <w:sz w:val="24"/>
          <w:szCs w:val="24"/>
        </w:rPr>
        <w:t>eida kapitāla ienākumus, kuri</w:t>
      </w:r>
      <w:r w:rsidRPr="00745BFC">
        <w:rPr>
          <w:rFonts w:ascii="Times New Roman" w:hAnsi="Times New Roman"/>
          <w:sz w:val="24"/>
          <w:szCs w:val="24"/>
        </w:rPr>
        <w:t xml:space="preserve"> personālsabiedrības līmenī nav tikuši iekļauti ar </w:t>
      </w:r>
      <w:r w:rsidR="00116EF0">
        <w:rPr>
          <w:rFonts w:ascii="Times New Roman" w:hAnsi="Times New Roman"/>
          <w:sz w:val="24"/>
          <w:szCs w:val="24"/>
        </w:rPr>
        <w:t>UIN</w:t>
      </w:r>
      <w:r w:rsidRPr="00745BFC">
        <w:rPr>
          <w:rFonts w:ascii="Times New Roman" w:hAnsi="Times New Roman"/>
          <w:sz w:val="24"/>
          <w:szCs w:val="24"/>
        </w:rPr>
        <w:t xml:space="preserve"> apliekamajā ienākuma aprēķinā. Lai nodrošinātu minēto ienākumu aplikšanu ar </w:t>
      </w:r>
      <w:r w:rsidR="00116EF0">
        <w:rPr>
          <w:rFonts w:ascii="Times New Roman" w:hAnsi="Times New Roman"/>
          <w:sz w:val="24"/>
          <w:szCs w:val="24"/>
        </w:rPr>
        <w:t>IIN</w:t>
      </w:r>
      <w:r w:rsidRPr="00745BFC">
        <w:rPr>
          <w:rFonts w:ascii="Times New Roman" w:hAnsi="Times New Roman"/>
          <w:sz w:val="24"/>
          <w:szCs w:val="24"/>
        </w:rPr>
        <w:t xml:space="preserve"> vienlaicīgi ir veikti grozījumi likumā “Par iedzīvotāju ienākuma nodokli”;</w:t>
      </w:r>
    </w:p>
    <w:p w14:paraId="7A4E504A" w14:textId="02863978" w:rsidR="000144E7" w:rsidRPr="00745BFC" w:rsidRDefault="000144E7" w:rsidP="008920E5">
      <w:pPr>
        <w:pStyle w:val="ListParagraph"/>
        <w:numPr>
          <w:ilvl w:val="0"/>
          <w:numId w:val="11"/>
        </w:numPr>
        <w:spacing w:after="60" w:line="240" w:lineRule="auto"/>
        <w:ind w:left="1134"/>
        <w:contextualSpacing w:val="0"/>
        <w:jc w:val="both"/>
        <w:rPr>
          <w:rFonts w:ascii="Times New Roman" w:hAnsi="Times New Roman"/>
          <w:sz w:val="24"/>
          <w:szCs w:val="24"/>
        </w:rPr>
      </w:pPr>
      <w:r w:rsidRPr="00745BFC">
        <w:rPr>
          <w:rFonts w:ascii="Times New Roman" w:hAnsi="Times New Roman"/>
          <w:sz w:val="24"/>
          <w:szCs w:val="24"/>
        </w:rPr>
        <w:t xml:space="preserve">tiek noteikts speciāls </w:t>
      </w:r>
      <w:r w:rsidR="00116EF0">
        <w:rPr>
          <w:rFonts w:ascii="Times New Roman" w:hAnsi="Times New Roman"/>
          <w:sz w:val="24"/>
          <w:szCs w:val="24"/>
        </w:rPr>
        <w:t>UIN</w:t>
      </w:r>
      <w:r w:rsidRPr="00745BFC">
        <w:rPr>
          <w:rFonts w:ascii="Times New Roman" w:hAnsi="Times New Roman"/>
          <w:sz w:val="24"/>
          <w:szCs w:val="24"/>
        </w:rPr>
        <w:t xml:space="preserve"> režīms Attīstības finanšu institūcijai, pēc būtības nodokļa piemērošanā pielīdzinot to kredītiestādei.</w:t>
      </w:r>
    </w:p>
    <w:p w14:paraId="0B5D700F" w14:textId="77777777" w:rsidR="000144E7" w:rsidRPr="00142A2C" w:rsidRDefault="000144E7" w:rsidP="00142A2C">
      <w:pPr>
        <w:spacing w:before="320" w:after="120" w:line="240" w:lineRule="auto"/>
        <w:ind w:firstLine="709"/>
        <w:jc w:val="both"/>
        <w:rPr>
          <w:rFonts w:ascii="Times New Roman" w:hAnsi="Times New Roman" w:cs="Times New Roman"/>
          <w:b/>
          <w:sz w:val="24"/>
          <w:szCs w:val="24"/>
        </w:rPr>
      </w:pPr>
      <w:r w:rsidRPr="00142A2C">
        <w:rPr>
          <w:rFonts w:ascii="Times New Roman" w:hAnsi="Times New Roman" w:cs="Times New Roman"/>
          <w:b/>
          <w:sz w:val="24"/>
          <w:szCs w:val="24"/>
        </w:rPr>
        <w:t>Akcīzes nodoklis</w:t>
      </w:r>
    </w:p>
    <w:p w14:paraId="1AA09C42" w14:textId="132AC60F" w:rsidR="000144E7" w:rsidRPr="000144E7" w:rsidRDefault="00116EF0" w:rsidP="000144E7">
      <w:pPr>
        <w:spacing w:after="6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Saskaņā ar 2014.gada 17.</w:t>
      </w:r>
      <w:r w:rsidR="000144E7" w:rsidRPr="000144E7">
        <w:rPr>
          <w:rFonts w:ascii="Times New Roman" w:hAnsi="Times New Roman" w:cs="Times New Roman"/>
          <w:color w:val="000000"/>
          <w:sz w:val="24"/>
          <w:szCs w:val="24"/>
        </w:rPr>
        <w:t>decembra grozījumiem likumā „Par akcīzes nodokli” noteiktas vairākas izmaiņas akcīzes nodokļa piemērošanā:</w:t>
      </w:r>
    </w:p>
    <w:p w14:paraId="1E975B48" w14:textId="2A4B3D7C" w:rsidR="000144E7" w:rsidRPr="00116EF0" w:rsidRDefault="00116EF0" w:rsidP="008920E5">
      <w:pPr>
        <w:pStyle w:val="ListParagraph"/>
        <w:numPr>
          <w:ilvl w:val="0"/>
          <w:numId w:val="23"/>
        </w:numPr>
        <w:spacing w:after="120" w:line="240" w:lineRule="auto"/>
        <w:ind w:left="1134"/>
        <w:jc w:val="both"/>
        <w:rPr>
          <w:rFonts w:ascii="Times New Roman" w:hAnsi="Times New Roman"/>
          <w:color w:val="000000"/>
          <w:sz w:val="24"/>
          <w:szCs w:val="24"/>
        </w:rPr>
      </w:pPr>
      <w:r>
        <w:rPr>
          <w:rFonts w:ascii="Times New Roman" w:hAnsi="Times New Roman"/>
          <w:color w:val="000000"/>
          <w:sz w:val="24"/>
          <w:szCs w:val="24"/>
        </w:rPr>
        <w:t>ar 2015.gada 1.</w:t>
      </w:r>
      <w:r w:rsidR="000144E7" w:rsidRPr="00116EF0">
        <w:rPr>
          <w:rFonts w:ascii="Times New Roman" w:hAnsi="Times New Roman"/>
          <w:color w:val="000000"/>
          <w:sz w:val="24"/>
          <w:szCs w:val="24"/>
        </w:rPr>
        <w:t xml:space="preserve">aprīli ar akcīzes nodokli tiks apliktas tabakas lapas un citas tabakas izstrādājumu ražošanas izejvielas, piemērojot nodokļa likmi </w:t>
      </w:r>
      <w:r w:rsidR="000144E7" w:rsidRPr="00116EF0">
        <w:rPr>
          <w:rFonts w:ascii="Times New Roman" w:hAnsi="Times New Roman"/>
          <w:sz w:val="24"/>
          <w:szCs w:val="24"/>
        </w:rPr>
        <w:t>55,49 </w:t>
      </w:r>
      <w:r w:rsidR="000144E7" w:rsidRPr="00116EF0">
        <w:rPr>
          <w:rFonts w:ascii="Times New Roman" w:hAnsi="Times New Roman"/>
          <w:i/>
          <w:sz w:val="24"/>
          <w:szCs w:val="24"/>
        </w:rPr>
        <w:t xml:space="preserve">euro </w:t>
      </w:r>
      <w:r w:rsidR="000144E7" w:rsidRPr="00116EF0">
        <w:rPr>
          <w:rFonts w:ascii="Times New Roman" w:hAnsi="Times New Roman"/>
          <w:sz w:val="24"/>
          <w:szCs w:val="24"/>
        </w:rPr>
        <w:t>par 1000 gra</w:t>
      </w:r>
      <w:r>
        <w:rPr>
          <w:rFonts w:ascii="Times New Roman" w:hAnsi="Times New Roman"/>
          <w:sz w:val="24"/>
          <w:szCs w:val="24"/>
        </w:rPr>
        <w:t>miem tabakas lapu, bet ar 2018.gada 1.</w:t>
      </w:r>
      <w:r w:rsidR="000144E7" w:rsidRPr="00116EF0">
        <w:rPr>
          <w:rFonts w:ascii="Times New Roman" w:hAnsi="Times New Roman"/>
          <w:sz w:val="24"/>
          <w:szCs w:val="24"/>
        </w:rPr>
        <w:t>janvāri likme tiks paaugstināta līdz 60 </w:t>
      </w:r>
      <w:r w:rsidR="000144E7" w:rsidRPr="00116EF0">
        <w:rPr>
          <w:rFonts w:ascii="Times New Roman" w:hAnsi="Times New Roman"/>
          <w:i/>
          <w:sz w:val="24"/>
          <w:szCs w:val="24"/>
        </w:rPr>
        <w:t>euro</w:t>
      </w:r>
      <w:r w:rsidR="000144E7" w:rsidRPr="00116EF0">
        <w:rPr>
          <w:rFonts w:ascii="Times New Roman" w:hAnsi="Times New Roman"/>
          <w:sz w:val="24"/>
          <w:szCs w:val="24"/>
        </w:rPr>
        <w:t xml:space="preserve"> par 1000 gramiem tabakas lapu.</w:t>
      </w:r>
    </w:p>
    <w:p w14:paraId="2F95A1B0" w14:textId="035B6393" w:rsidR="000144E7" w:rsidRPr="00116EF0" w:rsidRDefault="00116EF0" w:rsidP="008920E5">
      <w:pPr>
        <w:pStyle w:val="ListParagraph"/>
        <w:numPr>
          <w:ilvl w:val="0"/>
          <w:numId w:val="23"/>
        </w:numPr>
        <w:spacing w:after="120" w:line="240" w:lineRule="auto"/>
        <w:ind w:left="1134"/>
        <w:jc w:val="both"/>
        <w:rPr>
          <w:rFonts w:ascii="Times New Roman" w:hAnsi="Times New Roman"/>
          <w:color w:val="000000"/>
          <w:sz w:val="24"/>
          <w:szCs w:val="24"/>
        </w:rPr>
      </w:pPr>
      <w:r>
        <w:rPr>
          <w:rFonts w:ascii="Times New Roman" w:hAnsi="Times New Roman"/>
          <w:color w:val="000000"/>
          <w:sz w:val="24"/>
          <w:szCs w:val="24"/>
        </w:rPr>
        <w:t>ar 2015.gada 1.</w:t>
      </w:r>
      <w:r w:rsidR="000144E7" w:rsidRPr="00116EF0">
        <w:rPr>
          <w:rFonts w:ascii="Times New Roman" w:hAnsi="Times New Roman"/>
          <w:color w:val="000000"/>
          <w:sz w:val="24"/>
          <w:szCs w:val="24"/>
        </w:rPr>
        <w:t>janvāri akcīzes nodokļa atbrīvojums tiek piemērots dabasgāzei, kuru izmanto siltumnīcu siltumapgādē, neatkarīgi no tā, kādas lauksaimniecības</w:t>
      </w:r>
      <w:r>
        <w:rPr>
          <w:rFonts w:ascii="Times New Roman" w:hAnsi="Times New Roman"/>
          <w:color w:val="000000"/>
          <w:sz w:val="24"/>
          <w:szCs w:val="24"/>
        </w:rPr>
        <w:t xml:space="preserve"> kultūras tajās tiek audzētas.</w:t>
      </w:r>
    </w:p>
    <w:p w14:paraId="1A68B02F" w14:textId="7452D483" w:rsidR="000144E7" w:rsidRPr="00116EF0" w:rsidRDefault="00116EF0" w:rsidP="008920E5">
      <w:pPr>
        <w:pStyle w:val="ListParagraph"/>
        <w:numPr>
          <w:ilvl w:val="0"/>
          <w:numId w:val="23"/>
        </w:numPr>
        <w:spacing w:after="120" w:line="240" w:lineRule="auto"/>
        <w:ind w:left="1134"/>
        <w:jc w:val="both"/>
        <w:rPr>
          <w:rFonts w:ascii="Times New Roman" w:hAnsi="Times New Roman"/>
          <w:color w:val="000000"/>
          <w:sz w:val="24"/>
          <w:szCs w:val="24"/>
        </w:rPr>
      </w:pPr>
      <w:r>
        <w:rPr>
          <w:rFonts w:ascii="Times New Roman" w:hAnsi="Times New Roman"/>
          <w:sz w:val="24"/>
          <w:szCs w:val="24"/>
        </w:rPr>
        <w:t>ar 2015.gada 1.</w:t>
      </w:r>
      <w:r w:rsidR="000144E7" w:rsidRPr="00116EF0">
        <w:rPr>
          <w:rFonts w:ascii="Times New Roman" w:hAnsi="Times New Roman"/>
          <w:sz w:val="24"/>
          <w:szCs w:val="24"/>
        </w:rPr>
        <w:t xml:space="preserve">janvāri </w:t>
      </w:r>
      <w:r w:rsidR="000144E7" w:rsidRPr="00116EF0">
        <w:rPr>
          <w:rFonts w:ascii="Times New Roman" w:hAnsi="Times New Roman"/>
          <w:spacing w:val="-4"/>
          <w:sz w:val="24"/>
          <w:szCs w:val="24"/>
        </w:rPr>
        <w:t xml:space="preserve">dīzeļdegvielai (gāzeļļai), tās aizstājējproduktiem un komponentiem, kam pievienota no rapšu sēklu eļļas iegūta biodīzeļdegviela un minētā biodīzeļdegviela veido vismaz 30 tilpumprocentus no kopējā produktu daudzuma, atcelta samazinātā akcīzes nodokļa likme 233,35 </w:t>
      </w:r>
      <w:r w:rsidR="000144E7" w:rsidRPr="00116EF0">
        <w:rPr>
          <w:rFonts w:ascii="Times New Roman" w:hAnsi="Times New Roman"/>
          <w:i/>
          <w:spacing w:val="-4"/>
          <w:sz w:val="24"/>
          <w:szCs w:val="24"/>
        </w:rPr>
        <w:t>euro</w:t>
      </w:r>
      <w:r w:rsidR="000144E7" w:rsidRPr="00116EF0">
        <w:rPr>
          <w:rFonts w:ascii="Times New Roman" w:hAnsi="Times New Roman"/>
          <w:spacing w:val="-4"/>
          <w:sz w:val="24"/>
          <w:szCs w:val="24"/>
        </w:rPr>
        <w:t xml:space="preserve"> par 1000 litriem, un tās vietā tiek piemērota akcīzes nodokļa likme 332,95 </w:t>
      </w:r>
      <w:r w:rsidR="000144E7" w:rsidRPr="00116EF0">
        <w:rPr>
          <w:rFonts w:ascii="Times New Roman" w:hAnsi="Times New Roman"/>
          <w:i/>
          <w:spacing w:val="-4"/>
          <w:sz w:val="24"/>
          <w:szCs w:val="24"/>
        </w:rPr>
        <w:t>euro</w:t>
      </w:r>
      <w:r w:rsidR="000144E7" w:rsidRPr="00116EF0">
        <w:rPr>
          <w:rFonts w:ascii="Times New Roman" w:hAnsi="Times New Roman"/>
          <w:spacing w:val="-4"/>
          <w:sz w:val="24"/>
          <w:szCs w:val="24"/>
        </w:rPr>
        <w:t xml:space="preserve"> par 1000 litriem minētās dīzeļdegvielas.</w:t>
      </w:r>
    </w:p>
    <w:p w14:paraId="3D3BCD59" w14:textId="75612F86" w:rsidR="000144E7" w:rsidRPr="00116EF0" w:rsidRDefault="00116EF0" w:rsidP="008920E5">
      <w:pPr>
        <w:pStyle w:val="ListParagraph"/>
        <w:numPr>
          <w:ilvl w:val="0"/>
          <w:numId w:val="23"/>
        </w:numPr>
        <w:spacing w:after="60" w:line="240" w:lineRule="auto"/>
        <w:ind w:left="1134"/>
        <w:contextualSpacing w:val="0"/>
        <w:jc w:val="both"/>
        <w:rPr>
          <w:rFonts w:ascii="Times New Roman" w:hAnsi="Times New Roman"/>
          <w:color w:val="000000"/>
          <w:sz w:val="24"/>
          <w:szCs w:val="24"/>
        </w:rPr>
      </w:pPr>
      <w:r>
        <w:rPr>
          <w:rFonts w:ascii="Times New Roman" w:hAnsi="Times New Roman"/>
          <w:color w:val="000000"/>
          <w:sz w:val="24"/>
          <w:szCs w:val="24"/>
        </w:rPr>
        <w:t>ar 2015.gada 1.</w:t>
      </w:r>
      <w:r w:rsidR="000144E7" w:rsidRPr="00116EF0">
        <w:rPr>
          <w:rFonts w:ascii="Times New Roman" w:hAnsi="Times New Roman"/>
          <w:color w:val="000000"/>
          <w:sz w:val="24"/>
          <w:szCs w:val="24"/>
        </w:rPr>
        <w:t xml:space="preserve">jūliju </w:t>
      </w:r>
      <w:r w:rsidR="000144E7" w:rsidRPr="00116EF0">
        <w:rPr>
          <w:rFonts w:ascii="Times New Roman" w:hAnsi="Times New Roman"/>
          <w:sz w:val="24"/>
          <w:szCs w:val="24"/>
        </w:rPr>
        <w:t xml:space="preserve">dīzeļdegviela (gāzeļļa) un dīzeļdegviela (gāzeļļa), kurai ir pievienota no rapšu sēklu eļļas iegūta biodīzeļdegviela un kuru izmanto lauksaimniecības produkcijas ražošanai, lauksaimniecības zemes apstrādei, kā arī tādas meža vai purva zemes apstrādei, kur kultivē dzērvenes vai mellenes, un zemes zem zivju dīķiem apstrādei (turpmāk – lauksaimniecībā izmantotajai dīzeļdegvielai), vairs nebūs atbrīvota no akcīzes nodokļa, kā arī vairs nebūs noteikts </w:t>
      </w:r>
      <w:r w:rsidR="000144E7" w:rsidRPr="00116EF0">
        <w:rPr>
          <w:rFonts w:ascii="Times New Roman" w:hAnsi="Times New Roman"/>
          <w:color w:val="000000"/>
          <w:sz w:val="24"/>
          <w:szCs w:val="24"/>
        </w:rPr>
        <w:t xml:space="preserve">maksimālais kopējais dīzeļdegvielas daudzums, kam piemērojams citādāks nodokļa režīms. Tā vietā </w:t>
      </w:r>
      <w:r w:rsidR="000144E7" w:rsidRPr="00116EF0">
        <w:rPr>
          <w:rFonts w:ascii="Times New Roman" w:hAnsi="Times New Roman"/>
          <w:sz w:val="24"/>
          <w:szCs w:val="24"/>
        </w:rPr>
        <w:t>tiks piemērota samazināta akcīzes nodokļa likme 50 </w:t>
      </w:r>
      <w:r w:rsidR="000144E7" w:rsidRPr="00116EF0">
        <w:rPr>
          <w:rFonts w:ascii="Times New Roman" w:hAnsi="Times New Roman"/>
          <w:i/>
          <w:sz w:val="24"/>
          <w:szCs w:val="24"/>
        </w:rPr>
        <w:t>euro</w:t>
      </w:r>
      <w:r w:rsidR="000144E7" w:rsidRPr="00116EF0">
        <w:rPr>
          <w:rFonts w:ascii="Times New Roman" w:hAnsi="Times New Roman"/>
          <w:sz w:val="24"/>
          <w:szCs w:val="24"/>
        </w:rPr>
        <w:t xml:space="preserve"> apmērā par 1000 litriem minētās dīzeļdegvielas. Papildus noteikts, ka, lai piemērotu samazināto akcīzes nodokļa likmi, lauksaimniecībā izmantojamā dīzeļdegviela būs jāmarķē. Vienlaicīgi noteikti lauksaimniecības tehnikas veidi, piemēram, traktortehnika un lauksaimniecības pašgājējmašīnas, kuros atļauts izmantot lauksaimniecībā izmantojamo dīzeļdegvielu, kā arī noteikta minētās dīzeļdegvielas iegādes limita diferenciācija pa lauksaimniecības nozarēm. </w:t>
      </w:r>
    </w:p>
    <w:p w14:paraId="3A4193BE" w14:textId="77777777" w:rsidR="000144E7" w:rsidRPr="000144E7" w:rsidRDefault="000144E7" w:rsidP="00AE4549">
      <w:pPr>
        <w:spacing w:after="60" w:line="240" w:lineRule="auto"/>
        <w:ind w:firstLine="720"/>
        <w:jc w:val="both"/>
        <w:rPr>
          <w:rFonts w:ascii="Times New Roman" w:hAnsi="Times New Roman" w:cs="Times New Roman"/>
          <w:color w:val="000000"/>
          <w:sz w:val="24"/>
          <w:szCs w:val="24"/>
        </w:rPr>
      </w:pPr>
      <w:r w:rsidRPr="000144E7">
        <w:rPr>
          <w:rFonts w:ascii="Times New Roman" w:hAnsi="Times New Roman" w:cs="Times New Roman"/>
          <w:color w:val="000000"/>
          <w:sz w:val="24"/>
          <w:szCs w:val="24"/>
        </w:rPr>
        <w:t xml:space="preserve">Akcīzes nodokļa piemērošana tabakas lapām un to lauksaimniecības tehnikas veidu noteikšana, kuros drīkst izmantot dīzeļdegvielu, kam piemēro samazināto akcīzes nodokļa likmi, ir daļa no ēnu ekonomikas ierobežošanas pasākumiem. </w:t>
      </w:r>
    </w:p>
    <w:p w14:paraId="00CDB3A6" w14:textId="20F77FB7" w:rsidR="000144E7" w:rsidRPr="000144E7" w:rsidRDefault="00AE4549" w:rsidP="00AE4549">
      <w:pPr>
        <w:spacing w:after="6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Saskaņā ar 2013.gada 6.</w:t>
      </w:r>
      <w:r w:rsidR="000144E7" w:rsidRPr="000144E7">
        <w:rPr>
          <w:rFonts w:ascii="Times New Roman" w:hAnsi="Times New Roman" w:cs="Times New Roman"/>
          <w:color w:val="000000"/>
          <w:sz w:val="24"/>
          <w:szCs w:val="24"/>
        </w:rPr>
        <w:t>novembra likumu „Grozījumi likumā</w:t>
      </w:r>
      <w:r>
        <w:rPr>
          <w:rFonts w:ascii="Times New Roman" w:hAnsi="Times New Roman" w:cs="Times New Roman"/>
          <w:color w:val="000000"/>
          <w:sz w:val="24"/>
          <w:szCs w:val="24"/>
        </w:rPr>
        <w:t xml:space="preserve"> "Par akcīzes nodokli" ar 2014.gada 1.</w:t>
      </w:r>
      <w:r w:rsidR="000144E7" w:rsidRPr="000144E7">
        <w:rPr>
          <w:rFonts w:ascii="Times New Roman" w:hAnsi="Times New Roman" w:cs="Times New Roman"/>
          <w:color w:val="000000"/>
          <w:sz w:val="24"/>
          <w:szCs w:val="24"/>
        </w:rPr>
        <w:t xml:space="preserve">jūliju tika mainīta akcīzes nodokļa cigaretēm struktūra, paaugstinot nodokļa specifiskās likmes daļu, bet samazinot procentuālo daļu līdz 25%. Atbilstoši likuma „Par akcīzes nodokli” pārejas noteikumiem akcīzes nodokļa specifisko likmi un minimālo nodokļa līmeni par 1000 cigaretēm </w:t>
      </w:r>
      <w:r>
        <w:rPr>
          <w:rFonts w:ascii="Times New Roman" w:hAnsi="Times New Roman" w:cs="Times New Roman"/>
          <w:color w:val="000000"/>
          <w:sz w:val="24"/>
          <w:szCs w:val="24"/>
        </w:rPr>
        <w:t>paredzēts paaugstināt arī 2015.</w:t>
      </w:r>
      <w:r w:rsidR="000144E7" w:rsidRPr="000144E7">
        <w:rPr>
          <w:rFonts w:ascii="Times New Roman" w:hAnsi="Times New Roman" w:cs="Times New Roman"/>
          <w:color w:val="000000"/>
          <w:sz w:val="24"/>
          <w:szCs w:val="24"/>
        </w:rPr>
        <w:t>gadā un turpmākajos gados:</w:t>
      </w:r>
    </w:p>
    <w:p w14:paraId="6E718FB0" w14:textId="2A43FD06" w:rsidR="000144E7" w:rsidRPr="00AE4549" w:rsidRDefault="00AE4549" w:rsidP="008920E5">
      <w:pPr>
        <w:pStyle w:val="ListParagraph"/>
        <w:numPr>
          <w:ilvl w:val="0"/>
          <w:numId w:val="24"/>
        </w:numPr>
        <w:spacing w:after="6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ar 2015.gada 1.</w:t>
      </w:r>
      <w:r w:rsidR="000144E7" w:rsidRPr="00AE4549">
        <w:rPr>
          <w:rFonts w:ascii="Times New Roman" w:hAnsi="Times New Roman" w:cs="Times New Roman"/>
          <w:color w:val="000000"/>
          <w:sz w:val="24"/>
          <w:szCs w:val="24"/>
        </w:rPr>
        <w:t>jūliju specifiskā likme noteikta 54,20 </w:t>
      </w:r>
      <w:r w:rsidR="000144E7" w:rsidRPr="00AE4549">
        <w:rPr>
          <w:rFonts w:ascii="Times New Roman" w:hAnsi="Times New Roman" w:cs="Times New Roman"/>
          <w:i/>
          <w:color w:val="000000"/>
          <w:sz w:val="24"/>
          <w:szCs w:val="24"/>
        </w:rPr>
        <w:t>euro</w:t>
      </w:r>
      <w:r w:rsidR="000144E7" w:rsidRPr="00AE4549">
        <w:rPr>
          <w:rFonts w:ascii="Times New Roman" w:hAnsi="Times New Roman" w:cs="Times New Roman"/>
          <w:color w:val="000000"/>
          <w:sz w:val="24"/>
          <w:szCs w:val="24"/>
        </w:rPr>
        <w:t xml:space="preserve"> un minimālais nodokļa līmenis 89,80 </w:t>
      </w:r>
      <w:r w:rsidR="000144E7" w:rsidRPr="00AE4549">
        <w:rPr>
          <w:rFonts w:ascii="Times New Roman" w:hAnsi="Times New Roman" w:cs="Times New Roman"/>
          <w:i/>
          <w:color w:val="000000"/>
          <w:sz w:val="24"/>
          <w:szCs w:val="24"/>
        </w:rPr>
        <w:t>euro</w:t>
      </w:r>
      <w:r w:rsidR="000144E7" w:rsidRPr="00AE4549">
        <w:rPr>
          <w:rFonts w:ascii="Times New Roman" w:hAnsi="Times New Roman" w:cs="Times New Roman"/>
          <w:color w:val="000000"/>
          <w:sz w:val="24"/>
          <w:szCs w:val="24"/>
        </w:rPr>
        <w:t xml:space="preserve"> par 1000 cigaretēm;</w:t>
      </w:r>
    </w:p>
    <w:p w14:paraId="15A24F79" w14:textId="73C53721" w:rsidR="000144E7" w:rsidRPr="00AE4549" w:rsidRDefault="00AE4549" w:rsidP="008920E5">
      <w:pPr>
        <w:pStyle w:val="ListParagraph"/>
        <w:numPr>
          <w:ilvl w:val="0"/>
          <w:numId w:val="24"/>
        </w:numPr>
        <w:spacing w:after="6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ar 2016.gada 1.</w:t>
      </w:r>
      <w:r w:rsidR="000144E7" w:rsidRPr="00AE4549">
        <w:rPr>
          <w:rFonts w:ascii="Times New Roman" w:hAnsi="Times New Roman" w:cs="Times New Roman"/>
          <w:color w:val="000000"/>
          <w:sz w:val="24"/>
          <w:szCs w:val="24"/>
        </w:rPr>
        <w:t>jūliju specifiskā likme noteikta 56,20 </w:t>
      </w:r>
      <w:r w:rsidR="000144E7" w:rsidRPr="00AE4549">
        <w:rPr>
          <w:rFonts w:ascii="Times New Roman" w:hAnsi="Times New Roman" w:cs="Times New Roman"/>
          <w:i/>
          <w:color w:val="000000"/>
          <w:sz w:val="24"/>
          <w:szCs w:val="24"/>
        </w:rPr>
        <w:t>euro</w:t>
      </w:r>
      <w:r w:rsidR="000144E7" w:rsidRPr="00AE4549">
        <w:rPr>
          <w:rFonts w:ascii="Times New Roman" w:hAnsi="Times New Roman" w:cs="Times New Roman"/>
          <w:color w:val="000000"/>
          <w:sz w:val="24"/>
          <w:szCs w:val="24"/>
        </w:rPr>
        <w:t xml:space="preserve"> un minimālais nodokļa līmenis 93,70 </w:t>
      </w:r>
      <w:r w:rsidR="000144E7" w:rsidRPr="00AE4549">
        <w:rPr>
          <w:rFonts w:ascii="Times New Roman" w:hAnsi="Times New Roman" w:cs="Times New Roman"/>
          <w:i/>
          <w:color w:val="000000"/>
          <w:sz w:val="24"/>
          <w:szCs w:val="24"/>
        </w:rPr>
        <w:t>euro</w:t>
      </w:r>
      <w:r w:rsidR="000144E7" w:rsidRPr="00AE4549">
        <w:rPr>
          <w:rFonts w:ascii="Times New Roman" w:hAnsi="Times New Roman" w:cs="Times New Roman"/>
          <w:color w:val="000000"/>
          <w:sz w:val="24"/>
          <w:szCs w:val="24"/>
        </w:rPr>
        <w:t xml:space="preserve"> par 1000 cigaretēm;</w:t>
      </w:r>
    </w:p>
    <w:p w14:paraId="0ECF8FA1" w14:textId="480ED03B" w:rsidR="000144E7" w:rsidRPr="00AE4549" w:rsidRDefault="000144E7" w:rsidP="008920E5">
      <w:pPr>
        <w:pStyle w:val="ListParagraph"/>
        <w:numPr>
          <w:ilvl w:val="0"/>
          <w:numId w:val="24"/>
        </w:numPr>
        <w:spacing w:after="60" w:line="240" w:lineRule="auto"/>
        <w:ind w:left="1134"/>
        <w:jc w:val="both"/>
        <w:rPr>
          <w:rFonts w:ascii="Times New Roman" w:hAnsi="Times New Roman" w:cs="Times New Roman"/>
          <w:color w:val="000000"/>
          <w:sz w:val="24"/>
          <w:szCs w:val="24"/>
        </w:rPr>
      </w:pPr>
      <w:r w:rsidRPr="00AE4549">
        <w:rPr>
          <w:rFonts w:ascii="Times New Roman" w:hAnsi="Times New Roman" w:cs="Times New Roman"/>
          <w:color w:val="000000"/>
          <w:sz w:val="24"/>
          <w:szCs w:val="24"/>
        </w:rPr>
        <w:t>ar</w:t>
      </w:r>
      <w:r w:rsidR="00AE4549">
        <w:rPr>
          <w:rFonts w:ascii="Times New Roman" w:hAnsi="Times New Roman" w:cs="Times New Roman"/>
          <w:color w:val="000000"/>
          <w:sz w:val="24"/>
          <w:szCs w:val="24"/>
        </w:rPr>
        <w:t xml:space="preserve"> 2017.gada 1.</w:t>
      </w:r>
      <w:r w:rsidRPr="00AE4549">
        <w:rPr>
          <w:rFonts w:ascii="Times New Roman" w:hAnsi="Times New Roman" w:cs="Times New Roman"/>
          <w:color w:val="000000"/>
          <w:sz w:val="24"/>
          <w:szCs w:val="24"/>
        </w:rPr>
        <w:t>jūliju specifiskā likme noteikta 58,20 </w:t>
      </w:r>
      <w:r w:rsidRPr="00AE4549">
        <w:rPr>
          <w:rFonts w:ascii="Times New Roman" w:hAnsi="Times New Roman" w:cs="Times New Roman"/>
          <w:i/>
          <w:color w:val="000000"/>
          <w:sz w:val="24"/>
          <w:szCs w:val="24"/>
        </w:rPr>
        <w:t>euro</w:t>
      </w:r>
      <w:r w:rsidRPr="00AE4549">
        <w:rPr>
          <w:rFonts w:ascii="Times New Roman" w:hAnsi="Times New Roman" w:cs="Times New Roman"/>
          <w:color w:val="000000"/>
          <w:sz w:val="24"/>
          <w:szCs w:val="24"/>
        </w:rPr>
        <w:t xml:space="preserve"> un minimālais nodokļa līmenis 97,00 </w:t>
      </w:r>
      <w:r w:rsidRPr="00AE4549">
        <w:rPr>
          <w:rFonts w:ascii="Times New Roman" w:hAnsi="Times New Roman" w:cs="Times New Roman"/>
          <w:i/>
          <w:color w:val="000000"/>
          <w:sz w:val="24"/>
          <w:szCs w:val="24"/>
        </w:rPr>
        <w:t>euro</w:t>
      </w:r>
      <w:r w:rsidRPr="00AE4549">
        <w:rPr>
          <w:rFonts w:ascii="Times New Roman" w:hAnsi="Times New Roman" w:cs="Times New Roman"/>
          <w:color w:val="000000"/>
          <w:sz w:val="24"/>
          <w:szCs w:val="24"/>
        </w:rPr>
        <w:t xml:space="preserve"> par 1000 cigaretēm</w:t>
      </w:r>
    </w:p>
    <w:p w14:paraId="4BC5CF95" w14:textId="3C70B540" w:rsidR="000144E7" w:rsidRPr="00AE4549" w:rsidRDefault="00AE4549" w:rsidP="008920E5">
      <w:pPr>
        <w:pStyle w:val="ListParagraph"/>
        <w:numPr>
          <w:ilvl w:val="0"/>
          <w:numId w:val="24"/>
        </w:numPr>
        <w:spacing w:after="6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ar 2018.gada 1.</w:t>
      </w:r>
      <w:r w:rsidR="000144E7" w:rsidRPr="00AE4549">
        <w:rPr>
          <w:rFonts w:ascii="Times New Roman" w:hAnsi="Times New Roman" w:cs="Times New Roman"/>
          <w:color w:val="000000"/>
          <w:sz w:val="24"/>
          <w:szCs w:val="24"/>
        </w:rPr>
        <w:t>jūliju specifiskā likme noteikta 60,00 </w:t>
      </w:r>
      <w:r w:rsidR="000144E7" w:rsidRPr="00AE4549">
        <w:rPr>
          <w:rFonts w:ascii="Times New Roman" w:hAnsi="Times New Roman" w:cs="Times New Roman"/>
          <w:i/>
          <w:color w:val="000000"/>
          <w:sz w:val="24"/>
          <w:szCs w:val="24"/>
        </w:rPr>
        <w:t>euro</w:t>
      </w:r>
      <w:r w:rsidR="000144E7" w:rsidRPr="00AE4549">
        <w:rPr>
          <w:rFonts w:ascii="Times New Roman" w:hAnsi="Times New Roman" w:cs="Times New Roman"/>
          <w:color w:val="000000"/>
          <w:sz w:val="24"/>
          <w:szCs w:val="24"/>
        </w:rPr>
        <w:t xml:space="preserve"> un minimālais nodokļa līmenis 100,00 </w:t>
      </w:r>
      <w:r w:rsidR="000144E7" w:rsidRPr="00AE4549">
        <w:rPr>
          <w:rFonts w:ascii="Times New Roman" w:hAnsi="Times New Roman" w:cs="Times New Roman"/>
          <w:i/>
          <w:color w:val="000000"/>
          <w:sz w:val="24"/>
          <w:szCs w:val="24"/>
        </w:rPr>
        <w:t>euro</w:t>
      </w:r>
      <w:r w:rsidR="000144E7" w:rsidRPr="00AE4549">
        <w:rPr>
          <w:rFonts w:ascii="Times New Roman" w:hAnsi="Times New Roman" w:cs="Times New Roman"/>
          <w:color w:val="000000"/>
          <w:sz w:val="24"/>
          <w:szCs w:val="24"/>
        </w:rPr>
        <w:t xml:space="preserve"> par 1000 cigaretēm</w:t>
      </w:r>
    </w:p>
    <w:p w14:paraId="19C911BA" w14:textId="5E4E5AED" w:rsidR="00142A2C" w:rsidRPr="00142A2C" w:rsidRDefault="000144E7" w:rsidP="00142A2C">
      <w:pPr>
        <w:spacing w:after="60" w:line="240" w:lineRule="auto"/>
        <w:ind w:firstLine="567"/>
        <w:jc w:val="both"/>
        <w:rPr>
          <w:rFonts w:ascii="Times New Roman" w:hAnsi="Times New Roman" w:cs="Times New Roman"/>
          <w:color w:val="000000"/>
          <w:sz w:val="24"/>
          <w:szCs w:val="24"/>
        </w:rPr>
      </w:pPr>
      <w:r w:rsidRPr="000144E7">
        <w:rPr>
          <w:rFonts w:ascii="Times New Roman" w:hAnsi="Times New Roman" w:cs="Times New Roman"/>
          <w:color w:val="000000"/>
          <w:sz w:val="24"/>
          <w:szCs w:val="24"/>
        </w:rPr>
        <w:t>Saskaņā ar 2011</w:t>
      </w:r>
      <w:r w:rsidR="00AE4549">
        <w:rPr>
          <w:rFonts w:ascii="Times New Roman" w:hAnsi="Times New Roman" w:cs="Times New Roman"/>
          <w:color w:val="000000"/>
          <w:sz w:val="24"/>
          <w:szCs w:val="24"/>
        </w:rPr>
        <w:t>.</w:t>
      </w:r>
      <w:r w:rsidRPr="000144E7">
        <w:rPr>
          <w:rFonts w:ascii="Times New Roman" w:hAnsi="Times New Roman" w:cs="Times New Roman"/>
          <w:color w:val="000000"/>
          <w:sz w:val="24"/>
          <w:szCs w:val="24"/>
        </w:rPr>
        <w:t>gada 14.aprīlī veiktajiem grozījumiem likumā</w:t>
      </w:r>
      <w:r w:rsidR="00AE4549">
        <w:rPr>
          <w:rFonts w:ascii="Times New Roman" w:hAnsi="Times New Roman" w:cs="Times New Roman"/>
          <w:color w:val="000000"/>
          <w:sz w:val="24"/>
          <w:szCs w:val="24"/>
        </w:rPr>
        <w:t xml:space="preserve"> „Par akcīzes nodokli” ar 2016.gada 1.</w:t>
      </w:r>
      <w:r w:rsidRPr="000144E7">
        <w:rPr>
          <w:rFonts w:ascii="Times New Roman" w:hAnsi="Times New Roman" w:cs="Times New Roman"/>
          <w:color w:val="000000"/>
          <w:sz w:val="24"/>
          <w:szCs w:val="24"/>
        </w:rPr>
        <w:t>janvāri tiks paaugstināta akcīzes nodokļa likme cigāriem un cigarillām no 39,84 </w:t>
      </w:r>
      <w:r w:rsidRPr="000144E7">
        <w:rPr>
          <w:rFonts w:ascii="Times New Roman" w:hAnsi="Times New Roman" w:cs="Times New Roman"/>
          <w:i/>
          <w:color w:val="000000"/>
          <w:sz w:val="24"/>
          <w:szCs w:val="24"/>
        </w:rPr>
        <w:t>euro</w:t>
      </w:r>
      <w:r w:rsidRPr="000144E7">
        <w:rPr>
          <w:rFonts w:ascii="Times New Roman" w:hAnsi="Times New Roman" w:cs="Times New Roman"/>
          <w:color w:val="000000"/>
          <w:sz w:val="24"/>
          <w:szCs w:val="24"/>
        </w:rPr>
        <w:t xml:space="preserve"> līdz 42,69 </w:t>
      </w:r>
      <w:r w:rsidRPr="000144E7">
        <w:rPr>
          <w:rFonts w:ascii="Times New Roman" w:hAnsi="Times New Roman" w:cs="Times New Roman"/>
          <w:i/>
          <w:color w:val="000000"/>
          <w:sz w:val="24"/>
          <w:szCs w:val="24"/>
        </w:rPr>
        <w:t xml:space="preserve">euro, </w:t>
      </w:r>
      <w:r w:rsidR="00AE4549">
        <w:rPr>
          <w:rFonts w:ascii="Times New Roman" w:hAnsi="Times New Roman" w:cs="Times New Roman"/>
          <w:color w:val="000000"/>
          <w:sz w:val="24"/>
          <w:szCs w:val="24"/>
        </w:rPr>
        <w:t>bet ar 2018.gada 1.</w:t>
      </w:r>
      <w:r w:rsidRPr="000144E7">
        <w:rPr>
          <w:rFonts w:ascii="Times New Roman" w:hAnsi="Times New Roman" w:cs="Times New Roman"/>
          <w:color w:val="000000"/>
          <w:sz w:val="24"/>
          <w:szCs w:val="24"/>
        </w:rPr>
        <w:t>janvāri līdz 45,00</w:t>
      </w:r>
      <w:r w:rsidRPr="000144E7">
        <w:rPr>
          <w:rFonts w:ascii="Times New Roman" w:hAnsi="Times New Roman" w:cs="Times New Roman"/>
          <w:i/>
          <w:color w:val="000000"/>
          <w:sz w:val="24"/>
          <w:szCs w:val="24"/>
        </w:rPr>
        <w:t xml:space="preserve"> euro </w:t>
      </w:r>
      <w:r w:rsidRPr="000144E7">
        <w:rPr>
          <w:rFonts w:ascii="Times New Roman" w:hAnsi="Times New Roman" w:cs="Times New Roman"/>
          <w:color w:val="000000"/>
          <w:sz w:val="24"/>
          <w:szCs w:val="24"/>
        </w:rPr>
        <w:t>par 1000 cigāriem vai c</w:t>
      </w:r>
      <w:r w:rsidR="00AE4549">
        <w:rPr>
          <w:rFonts w:ascii="Times New Roman" w:hAnsi="Times New Roman" w:cs="Times New Roman"/>
          <w:color w:val="000000"/>
          <w:sz w:val="24"/>
          <w:szCs w:val="24"/>
        </w:rPr>
        <w:t>igarillām. Ar 2018.gada 1.</w:t>
      </w:r>
      <w:r w:rsidRPr="000144E7">
        <w:rPr>
          <w:rFonts w:ascii="Times New Roman" w:hAnsi="Times New Roman" w:cs="Times New Roman"/>
          <w:color w:val="000000"/>
          <w:sz w:val="24"/>
          <w:szCs w:val="24"/>
        </w:rPr>
        <w:t>janvāri akcīzes nodoklis tiks paaugstinātas arī smēķējamai tabakai no 55,49 </w:t>
      </w:r>
      <w:r w:rsidRPr="000144E7">
        <w:rPr>
          <w:rFonts w:ascii="Times New Roman" w:hAnsi="Times New Roman" w:cs="Times New Roman"/>
          <w:i/>
          <w:color w:val="000000"/>
          <w:sz w:val="24"/>
          <w:szCs w:val="24"/>
        </w:rPr>
        <w:t>euro</w:t>
      </w:r>
      <w:r w:rsidRPr="000144E7">
        <w:rPr>
          <w:rFonts w:ascii="Times New Roman" w:hAnsi="Times New Roman" w:cs="Times New Roman"/>
          <w:color w:val="000000"/>
          <w:sz w:val="24"/>
          <w:szCs w:val="24"/>
        </w:rPr>
        <w:t xml:space="preserve"> par 1000 gramiem līdz 60,00 </w:t>
      </w:r>
      <w:r w:rsidRPr="000144E7">
        <w:rPr>
          <w:rFonts w:ascii="Times New Roman" w:hAnsi="Times New Roman" w:cs="Times New Roman"/>
          <w:i/>
          <w:color w:val="000000"/>
          <w:sz w:val="24"/>
          <w:szCs w:val="24"/>
        </w:rPr>
        <w:t>euro</w:t>
      </w:r>
      <w:r w:rsidR="00142A2C">
        <w:rPr>
          <w:rFonts w:ascii="Times New Roman" w:hAnsi="Times New Roman" w:cs="Times New Roman"/>
          <w:color w:val="000000"/>
          <w:sz w:val="24"/>
          <w:szCs w:val="24"/>
        </w:rPr>
        <w:t xml:space="preserve"> par 1000 gramiem. </w:t>
      </w:r>
    </w:p>
    <w:p w14:paraId="35E2E0B4" w14:textId="77777777" w:rsidR="00142A2C" w:rsidRDefault="00142A2C">
      <w:pPr>
        <w:rPr>
          <w:rFonts w:ascii="Times New Roman" w:eastAsia="Times New Roman" w:hAnsi="Times New Roman" w:cs="Times New Roman"/>
          <w:b/>
          <w:sz w:val="24"/>
          <w:szCs w:val="20"/>
        </w:rPr>
      </w:pPr>
      <w:r>
        <w:rPr>
          <w:rFonts w:ascii="Times New Roman" w:hAnsi="Times New Roman"/>
        </w:rPr>
        <w:br w:type="page"/>
      </w:r>
    </w:p>
    <w:p w14:paraId="61581DBE" w14:textId="12FEF881" w:rsidR="000144E7" w:rsidRPr="00976B3C" w:rsidRDefault="00C81719" w:rsidP="000144E7">
      <w:pPr>
        <w:pStyle w:val="T"/>
        <w:spacing w:after="0"/>
        <w:ind w:left="0"/>
        <w:jc w:val="right"/>
        <w:rPr>
          <w:rFonts w:ascii="Times New Roman" w:hAnsi="Times New Roman"/>
        </w:rPr>
      </w:pPr>
      <w:r>
        <w:rPr>
          <w:rFonts w:ascii="Times New Roman" w:hAnsi="Times New Roman"/>
        </w:rPr>
        <w:t>6.4.</w:t>
      </w:r>
      <w:r w:rsidR="000144E7" w:rsidRPr="00976B3C">
        <w:rPr>
          <w:rFonts w:ascii="Times New Roman" w:hAnsi="Times New Roman"/>
        </w:rPr>
        <w:t>tabula. Nodokļu politikas būtiskāko izmaiņu ietekme uz akcīzes nodokļa ieņēmumiem, milj. </w:t>
      </w:r>
      <w:r w:rsidR="000144E7" w:rsidRPr="00976B3C">
        <w:rPr>
          <w:rFonts w:ascii="Times New Roman" w:hAnsi="Times New Roman"/>
          <w:i/>
        </w:rPr>
        <w:t>euro</w:t>
      </w:r>
      <w:r w:rsidR="000144E7" w:rsidRPr="00976B3C">
        <w:rPr>
          <w:rFonts w:ascii="Times New Roman" w:hAnsi="Times New Roman"/>
        </w:rPr>
        <w:t xml:space="preserve"> </w:t>
      </w:r>
      <w:r w:rsidR="000144E7" w:rsidRPr="00976B3C">
        <w:rPr>
          <w:rFonts w:ascii="Times New Roman" w:hAnsi="Times New Roman"/>
        </w:rPr>
        <w:tab/>
      </w:r>
    </w:p>
    <w:tbl>
      <w:tblPr>
        <w:tblStyle w:val="GridTable6ColorfulAccent1"/>
        <w:tblW w:w="9053" w:type="dxa"/>
        <w:jc w:val="center"/>
        <w:tblLayout w:type="fixed"/>
        <w:tblLook w:val="04A0" w:firstRow="1" w:lastRow="0" w:firstColumn="1" w:lastColumn="0" w:noHBand="0" w:noVBand="1"/>
      </w:tblPr>
      <w:tblGrid>
        <w:gridCol w:w="5368"/>
        <w:gridCol w:w="992"/>
        <w:gridCol w:w="992"/>
        <w:gridCol w:w="851"/>
        <w:gridCol w:w="850"/>
      </w:tblGrid>
      <w:tr w:rsidR="00E055A8" w:rsidRPr="00E055A8" w14:paraId="7C6CFDF3" w14:textId="77777777" w:rsidTr="00E055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68" w:type="dxa"/>
          </w:tcPr>
          <w:p w14:paraId="0C79DECA" w14:textId="77777777" w:rsidR="000144E7" w:rsidRPr="00E055A8" w:rsidRDefault="000144E7" w:rsidP="00E773FD">
            <w:pPr>
              <w:pStyle w:val="tabteksts"/>
              <w:rPr>
                <w:color w:val="auto"/>
              </w:rPr>
            </w:pPr>
          </w:p>
        </w:tc>
        <w:tc>
          <w:tcPr>
            <w:tcW w:w="992" w:type="dxa"/>
          </w:tcPr>
          <w:p w14:paraId="3A6499EA"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2015</w:t>
            </w:r>
          </w:p>
        </w:tc>
        <w:tc>
          <w:tcPr>
            <w:tcW w:w="992" w:type="dxa"/>
          </w:tcPr>
          <w:p w14:paraId="40717821"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2016</w:t>
            </w:r>
          </w:p>
        </w:tc>
        <w:tc>
          <w:tcPr>
            <w:tcW w:w="851" w:type="dxa"/>
          </w:tcPr>
          <w:p w14:paraId="5C1A66D3"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2017</w:t>
            </w:r>
          </w:p>
        </w:tc>
        <w:tc>
          <w:tcPr>
            <w:tcW w:w="850" w:type="dxa"/>
          </w:tcPr>
          <w:p w14:paraId="7BE78883"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2018</w:t>
            </w:r>
          </w:p>
        </w:tc>
      </w:tr>
      <w:tr w:rsidR="00E055A8" w:rsidRPr="00E055A8" w14:paraId="2069BF25"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68" w:type="dxa"/>
          </w:tcPr>
          <w:p w14:paraId="7C5756EC" w14:textId="77777777" w:rsidR="000144E7" w:rsidRPr="00E055A8" w:rsidRDefault="000144E7" w:rsidP="00E773FD">
            <w:pPr>
              <w:pStyle w:val="tabteksts"/>
              <w:rPr>
                <w:b w:val="0"/>
                <w:color w:val="auto"/>
              </w:rPr>
            </w:pPr>
            <w:r w:rsidRPr="00E055A8">
              <w:rPr>
                <w:b w:val="0"/>
                <w:color w:val="auto"/>
              </w:rPr>
              <w:t>Akcīzes nodokļa likmes paaugstināšana cigaretēm, cigāriem un cigarillām un smēķējamai tabakai</w:t>
            </w:r>
          </w:p>
        </w:tc>
        <w:tc>
          <w:tcPr>
            <w:tcW w:w="992" w:type="dxa"/>
            <w:vAlign w:val="center"/>
          </w:tcPr>
          <w:p w14:paraId="3DAEA17B"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+2,6</w:t>
            </w:r>
          </w:p>
        </w:tc>
        <w:tc>
          <w:tcPr>
            <w:tcW w:w="992" w:type="dxa"/>
            <w:vAlign w:val="center"/>
          </w:tcPr>
          <w:p w14:paraId="6F75CE5D"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+3,2</w:t>
            </w:r>
          </w:p>
        </w:tc>
        <w:tc>
          <w:tcPr>
            <w:tcW w:w="851" w:type="dxa"/>
            <w:vAlign w:val="center"/>
          </w:tcPr>
          <w:p w14:paraId="157AA818"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+3,8</w:t>
            </w:r>
          </w:p>
        </w:tc>
        <w:tc>
          <w:tcPr>
            <w:tcW w:w="850" w:type="dxa"/>
            <w:vAlign w:val="center"/>
          </w:tcPr>
          <w:p w14:paraId="1D8F602F"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+4,2</w:t>
            </w:r>
          </w:p>
        </w:tc>
      </w:tr>
      <w:tr w:rsidR="00E055A8" w:rsidRPr="00E055A8" w14:paraId="06799735"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5368" w:type="dxa"/>
          </w:tcPr>
          <w:p w14:paraId="13D6C0A4" w14:textId="77777777" w:rsidR="000144E7" w:rsidRPr="00E055A8" w:rsidRDefault="000144E7" w:rsidP="00E773FD">
            <w:pPr>
              <w:pStyle w:val="tabteksts"/>
              <w:rPr>
                <w:b w:val="0"/>
                <w:color w:val="auto"/>
              </w:rPr>
            </w:pPr>
            <w:r w:rsidRPr="00E055A8">
              <w:rPr>
                <w:b w:val="0"/>
                <w:color w:val="auto"/>
              </w:rPr>
              <w:t>Akcīzes nodokļa piemērošana tabakas lapām</w:t>
            </w:r>
          </w:p>
        </w:tc>
        <w:tc>
          <w:tcPr>
            <w:tcW w:w="992" w:type="dxa"/>
            <w:vAlign w:val="center"/>
          </w:tcPr>
          <w:p w14:paraId="30A91105" w14:textId="77777777" w:rsidR="000144E7" w:rsidRPr="00E055A8" w:rsidRDefault="000144E7" w:rsidP="00E055A8">
            <w:pPr>
              <w:pStyle w:val="tabteksts"/>
              <w:tabs>
                <w:tab w:val="decimal" w:pos="458"/>
              </w:tab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+0,3</w:t>
            </w:r>
          </w:p>
        </w:tc>
        <w:tc>
          <w:tcPr>
            <w:tcW w:w="992" w:type="dxa"/>
            <w:vAlign w:val="center"/>
          </w:tcPr>
          <w:p w14:paraId="60FEC48E" w14:textId="77777777" w:rsidR="000144E7" w:rsidRPr="00E055A8" w:rsidRDefault="000144E7" w:rsidP="00E055A8">
            <w:pPr>
              <w:pStyle w:val="tabteksts"/>
              <w:tabs>
                <w:tab w:val="decimal" w:pos="458"/>
              </w:tabs>
              <w:jc w:val="right"/>
              <w:cnfStyle w:val="000000000000" w:firstRow="0" w:lastRow="0" w:firstColumn="0" w:lastColumn="0" w:oddVBand="0" w:evenVBand="0" w:oddHBand="0" w:evenHBand="0" w:firstRowFirstColumn="0" w:firstRowLastColumn="0" w:lastRowFirstColumn="0" w:lastRowLastColumn="0"/>
              <w:rPr>
                <w:color w:val="auto"/>
              </w:rPr>
            </w:pPr>
          </w:p>
        </w:tc>
        <w:tc>
          <w:tcPr>
            <w:tcW w:w="851" w:type="dxa"/>
            <w:vAlign w:val="center"/>
          </w:tcPr>
          <w:p w14:paraId="28C77053" w14:textId="77777777" w:rsidR="000144E7" w:rsidRPr="00E055A8" w:rsidRDefault="000144E7" w:rsidP="00E055A8">
            <w:pPr>
              <w:pStyle w:val="tabteksts"/>
              <w:tabs>
                <w:tab w:val="decimal" w:pos="458"/>
              </w:tabs>
              <w:jc w:val="right"/>
              <w:cnfStyle w:val="000000000000" w:firstRow="0" w:lastRow="0" w:firstColumn="0" w:lastColumn="0" w:oddVBand="0" w:evenVBand="0" w:oddHBand="0" w:evenHBand="0" w:firstRowFirstColumn="0" w:firstRowLastColumn="0" w:lastRowFirstColumn="0" w:lastRowLastColumn="0"/>
              <w:rPr>
                <w:color w:val="auto"/>
              </w:rPr>
            </w:pPr>
          </w:p>
        </w:tc>
        <w:tc>
          <w:tcPr>
            <w:tcW w:w="850" w:type="dxa"/>
            <w:vAlign w:val="center"/>
          </w:tcPr>
          <w:p w14:paraId="062CF9D8" w14:textId="77777777" w:rsidR="000144E7" w:rsidRPr="00E055A8" w:rsidRDefault="000144E7" w:rsidP="00E055A8">
            <w:pPr>
              <w:pStyle w:val="tabteksts"/>
              <w:tabs>
                <w:tab w:val="decimal" w:pos="458"/>
              </w:tabs>
              <w:jc w:val="right"/>
              <w:cnfStyle w:val="000000000000" w:firstRow="0" w:lastRow="0" w:firstColumn="0" w:lastColumn="0" w:oddVBand="0" w:evenVBand="0" w:oddHBand="0" w:evenHBand="0" w:firstRowFirstColumn="0" w:firstRowLastColumn="0" w:lastRowFirstColumn="0" w:lastRowLastColumn="0"/>
              <w:rPr>
                <w:color w:val="auto"/>
              </w:rPr>
            </w:pPr>
          </w:p>
        </w:tc>
      </w:tr>
      <w:tr w:rsidR="00E055A8" w:rsidRPr="00E055A8" w14:paraId="044DD2CC"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68" w:type="dxa"/>
          </w:tcPr>
          <w:p w14:paraId="01AA8787" w14:textId="77777777" w:rsidR="000144E7" w:rsidRPr="00E055A8" w:rsidRDefault="000144E7" w:rsidP="00E773FD">
            <w:pPr>
              <w:pStyle w:val="tabteksts"/>
              <w:rPr>
                <w:b w:val="0"/>
                <w:color w:val="auto"/>
              </w:rPr>
            </w:pPr>
            <w:r w:rsidRPr="00E055A8">
              <w:rPr>
                <w:b w:val="0"/>
                <w:color w:val="auto"/>
              </w:rPr>
              <w:t>Traktortehnikas veidu noteikšana, kuros atļauts izmantot lauksaimniecības produkcijas ražošanai paredzēto dīzeļdegvielu, kam piemēro samazināto akcīzes nodokļa likmi</w:t>
            </w:r>
          </w:p>
        </w:tc>
        <w:tc>
          <w:tcPr>
            <w:tcW w:w="992" w:type="dxa"/>
            <w:vAlign w:val="center"/>
          </w:tcPr>
          <w:p w14:paraId="061DED29"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+0,7</w:t>
            </w:r>
          </w:p>
        </w:tc>
        <w:tc>
          <w:tcPr>
            <w:tcW w:w="992" w:type="dxa"/>
            <w:vAlign w:val="center"/>
          </w:tcPr>
          <w:p w14:paraId="451FEA54"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color w:val="auto"/>
              </w:rPr>
            </w:pPr>
          </w:p>
        </w:tc>
        <w:tc>
          <w:tcPr>
            <w:tcW w:w="851" w:type="dxa"/>
            <w:vAlign w:val="center"/>
          </w:tcPr>
          <w:p w14:paraId="746D7E55"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color w:val="auto"/>
              </w:rPr>
            </w:pPr>
          </w:p>
        </w:tc>
        <w:tc>
          <w:tcPr>
            <w:tcW w:w="850" w:type="dxa"/>
            <w:vAlign w:val="center"/>
          </w:tcPr>
          <w:p w14:paraId="27946E07"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color w:val="auto"/>
              </w:rPr>
            </w:pPr>
          </w:p>
        </w:tc>
      </w:tr>
      <w:tr w:rsidR="00E055A8" w:rsidRPr="00E055A8" w14:paraId="67071A0B"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5368" w:type="dxa"/>
          </w:tcPr>
          <w:p w14:paraId="389C7DD4" w14:textId="77777777" w:rsidR="000144E7" w:rsidRPr="00E055A8" w:rsidRDefault="000144E7" w:rsidP="00E773FD">
            <w:pPr>
              <w:pStyle w:val="tabteksts"/>
              <w:rPr>
                <w:b w:val="0"/>
                <w:color w:val="auto"/>
              </w:rPr>
            </w:pPr>
            <w:r w:rsidRPr="00E055A8">
              <w:rPr>
                <w:b w:val="0"/>
                <w:color w:val="auto"/>
              </w:rPr>
              <w:t>Nodokļu administrēšanas uzlabošanas pasākumi</w:t>
            </w:r>
          </w:p>
        </w:tc>
        <w:tc>
          <w:tcPr>
            <w:tcW w:w="992" w:type="dxa"/>
            <w:vAlign w:val="center"/>
          </w:tcPr>
          <w:p w14:paraId="6693FDD0" w14:textId="77777777" w:rsidR="000144E7" w:rsidRPr="00E055A8" w:rsidRDefault="000144E7" w:rsidP="00E055A8">
            <w:pPr>
              <w:pStyle w:val="tabteksts"/>
              <w:tabs>
                <w:tab w:val="decimal" w:pos="458"/>
              </w:tabs>
              <w:jc w:val="right"/>
              <w:cnfStyle w:val="000000000000" w:firstRow="0" w:lastRow="0" w:firstColumn="0" w:lastColumn="0" w:oddVBand="0" w:evenVBand="0" w:oddHBand="0" w:evenHBand="0" w:firstRowFirstColumn="0" w:firstRowLastColumn="0" w:lastRowFirstColumn="0" w:lastRowLastColumn="0"/>
              <w:rPr>
                <w:color w:val="auto"/>
                <w:highlight w:val="yellow"/>
              </w:rPr>
            </w:pPr>
            <w:r w:rsidRPr="00E055A8">
              <w:rPr>
                <w:color w:val="auto"/>
              </w:rPr>
              <w:t>+1,2</w:t>
            </w:r>
          </w:p>
        </w:tc>
        <w:tc>
          <w:tcPr>
            <w:tcW w:w="992" w:type="dxa"/>
            <w:vAlign w:val="center"/>
          </w:tcPr>
          <w:p w14:paraId="567CFF8F" w14:textId="77777777" w:rsidR="000144E7" w:rsidRPr="00E055A8" w:rsidRDefault="000144E7" w:rsidP="00E055A8">
            <w:pPr>
              <w:pStyle w:val="tabteksts"/>
              <w:tabs>
                <w:tab w:val="decimal" w:pos="458"/>
              </w:tabs>
              <w:jc w:val="right"/>
              <w:cnfStyle w:val="000000000000" w:firstRow="0" w:lastRow="0" w:firstColumn="0" w:lastColumn="0" w:oddVBand="0" w:evenVBand="0" w:oddHBand="0" w:evenHBand="0" w:firstRowFirstColumn="0" w:firstRowLastColumn="0" w:lastRowFirstColumn="0" w:lastRowLastColumn="0"/>
              <w:rPr>
                <w:color w:val="auto"/>
                <w:highlight w:val="yellow"/>
              </w:rPr>
            </w:pPr>
          </w:p>
        </w:tc>
        <w:tc>
          <w:tcPr>
            <w:tcW w:w="851" w:type="dxa"/>
            <w:vAlign w:val="center"/>
          </w:tcPr>
          <w:p w14:paraId="1464F97A" w14:textId="77777777" w:rsidR="000144E7" w:rsidRPr="00E055A8" w:rsidRDefault="000144E7" w:rsidP="00E055A8">
            <w:pPr>
              <w:pStyle w:val="tabteksts"/>
              <w:tabs>
                <w:tab w:val="decimal" w:pos="458"/>
              </w:tabs>
              <w:jc w:val="right"/>
              <w:cnfStyle w:val="000000000000" w:firstRow="0" w:lastRow="0" w:firstColumn="0" w:lastColumn="0" w:oddVBand="0" w:evenVBand="0" w:oddHBand="0" w:evenHBand="0" w:firstRowFirstColumn="0" w:firstRowLastColumn="0" w:lastRowFirstColumn="0" w:lastRowLastColumn="0"/>
              <w:rPr>
                <w:color w:val="auto"/>
                <w:highlight w:val="yellow"/>
              </w:rPr>
            </w:pPr>
          </w:p>
        </w:tc>
        <w:tc>
          <w:tcPr>
            <w:tcW w:w="850" w:type="dxa"/>
            <w:vAlign w:val="center"/>
          </w:tcPr>
          <w:p w14:paraId="00C37FB6" w14:textId="77777777" w:rsidR="000144E7" w:rsidRPr="00E055A8" w:rsidRDefault="000144E7" w:rsidP="00E055A8">
            <w:pPr>
              <w:pStyle w:val="tabteksts"/>
              <w:tabs>
                <w:tab w:val="decimal" w:pos="458"/>
              </w:tabs>
              <w:jc w:val="right"/>
              <w:cnfStyle w:val="000000000000" w:firstRow="0" w:lastRow="0" w:firstColumn="0" w:lastColumn="0" w:oddVBand="0" w:evenVBand="0" w:oddHBand="0" w:evenHBand="0" w:firstRowFirstColumn="0" w:firstRowLastColumn="0" w:lastRowFirstColumn="0" w:lastRowLastColumn="0"/>
              <w:rPr>
                <w:color w:val="auto"/>
                <w:highlight w:val="yellow"/>
              </w:rPr>
            </w:pPr>
          </w:p>
        </w:tc>
      </w:tr>
      <w:tr w:rsidR="00E055A8" w:rsidRPr="00E055A8" w14:paraId="1B17854C"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68" w:type="dxa"/>
          </w:tcPr>
          <w:p w14:paraId="167F094B" w14:textId="77777777" w:rsidR="000144E7" w:rsidRPr="00E055A8" w:rsidRDefault="000144E7" w:rsidP="00E773FD">
            <w:pPr>
              <w:pStyle w:val="tabteksts"/>
              <w:jc w:val="both"/>
              <w:rPr>
                <w:b w:val="0"/>
                <w:color w:val="auto"/>
              </w:rPr>
            </w:pPr>
            <w:r w:rsidRPr="00E055A8">
              <w:rPr>
                <w:b w:val="0"/>
                <w:color w:val="auto"/>
              </w:rPr>
              <w:t>Izmaiņu ietekme kopā:</w:t>
            </w:r>
          </w:p>
        </w:tc>
        <w:tc>
          <w:tcPr>
            <w:tcW w:w="992" w:type="dxa"/>
            <w:vAlign w:val="center"/>
          </w:tcPr>
          <w:p w14:paraId="22943367"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b/>
                <w:color w:val="auto"/>
              </w:rPr>
            </w:pPr>
            <w:r w:rsidRPr="00E055A8">
              <w:rPr>
                <w:b/>
                <w:color w:val="auto"/>
              </w:rPr>
              <w:t>+4,8</w:t>
            </w:r>
          </w:p>
        </w:tc>
        <w:tc>
          <w:tcPr>
            <w:tcW w:w="992" w:type="dxa"/>
            <w:vAlign w:val="center"/>
          </w:tcPr>
          <w:p w14:paraId="2A84AFE4"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b/>
                <w:color w:val="auto"/>
              </w:rPr>
            </w:pPr>
            <w:r w:rsidRPr="00E055A8">
              <w:rPr>
                <w:b/>
                <w:color w:val="auto"/>
              </w:rPr>
              <w:t>+3,2</w:t>
            </w:r>
          </w:p>
        </w:tc>
        <w:tc>
          <w:tcPr>
            <w:tcW w:w="851" w:type="dxa"/>
            <w:vAlign w:val="center"/>
          </w:tcPr>
          <w:p w14:paraId="3F5C7D84"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b/>
                <w:color w:val="auto"/>
              </w:rPr>
            </w:pPr>
            <w:r w:rsidRPr="00E055A8">
              <w:rPr>
                <w:b/>
                <w:color w:val="auto"/>
              </w:rPr>
              <w:t>+3,8</w:t>
            </w:r>
          </w:p>
        </w:tc>
        <w:tc>
          <w:tcPr>
            <w:tcW w:w="850" w:type="dxa"/>
            <w:vAlign w:val="center"/>
          </w:tcPr>
          <w:p w14:paraId="5A4819ED" w14:textId="77777777" w:rsidR="000144E7" w:rsidRPr="00E055A8" w:rsidRDefault="000144E7" w:rsidP="00E055A8">
            <w:pPr>
              <w:pStyle w:val="tabteksts"/>
              <w:tabs>
                <w:tab w:val="decimal" w:pos="458"/>
              </w:tabs>
              <w:jc w:val="right"/>
              <w:cnfStyle w:val="000000100000" w:firstRow="0" w:lastRow="0" w:firstColumn="0" w:lastColumn="0" w:oddVBand="0" w:evenVBand="0" w:oddHBand="1" w:evenHBand="0" w:firstRowFirstColumn="0" w:firstRowLastColumn="0" w:lastRowFirstColumn="0" w:lastRowLastColumn="0"/>
              <w:rPr>
                <w:b/>
                <w:color w:val="auto"/>
              </w:rPr>
            </w:pPr>
            <w:r w:rsidRPr="00E055A8">
              <w:rPr>
                <w:b/>
                <w:color w:val="auto"/>
              </w:rPr>
              <w:t>+4,2</w:t>
            </w:r>
          </w:p>
        </w:tc>
      </w:tr>
    </w:tbl>
    <w:p w14:paraId="658C5286" w14:textId="77777777" w:rsidR="000144E7" w:rsidRPr="00142A2C" w:rsidRDefault="000144E7" w:rsidP="00142A2C">
      <w:pPr>
        <w:spacing w:before="320" w:after="120" w:line="240" w:lineRule="auto"/>
        <w:ind w:firstLine="709"/>
        <w:jc w:val="both"/>
        <w:rPr>
          <w:rFonts w:ascii="Times New Roman" w:hAnsi="Times New Roman" w:cs="Times New Roman"/>
          <w:b/>
          <w:sz w:val="24"/>
          <w:szCs w:val="24"/>
        </w:rPr>
      </w:pPr>
      <w:r w:rsidRPr="00142A2C">
        <w:rPr>
          <w:rFonts w:ascii="Times New Roman" w:hAnsi="Times New Roman" w:cs="Times New Roman"/>
          <w:b/>
          <w:sz w:val="24"/>
          <w:szCs w:val="24"/>
        </w:rPr>
        <w:t>Nekustamā īpašuma nodoklis</w:t>
      </w:r>
    </w:p>
    <w:p w14:paraId="5346BC1D" w14:textId="6487EF4D" w:rsidR="000144E7" w:rsidRPr="000144E7" w:rsidRDefault="00AE4549" w:rsidP="00AE4549">
      <w:pPr>
        <w:spacing w:after="6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No 2012.</w:t>
      </w:r>
      <w:r w:rsidR="000144E7" w:rsidRPr="000144E7">
        <w:rPr>
          <w:rFonts w:ascii="Times New Roman" w:hAnsi="Times New Roman" w:cs="Times New Roman"/>
          <w:color w:val="000000"/>
          <w:sz w:val="24"/>
          <w:szCs w:val="24"/>
        </w:rPr>
        <w:t xml:space="preserve">gada pašvaldībām ir tiesības ar saistošiem noteikumiem noteikt nodokļa likmi no 0,2% līdz 3,0% no nekustamā īpašuma kadastrālās vērtības. Nodokļa likme var pārsniegt 1,5% robežu tikai gadījumos, ja nekustamais īpašums netiek apsaimniekots atbilstoši normatīvajos aktos noteiktajai kārtībai. Pašvaldības arī ir tiesīgas turpināt piemērot nodokļa apmēra pieauguma ierobežojumu zemei vai saglabāt nodokļa apmēru zemei iepriekšējā taksācijas gada līmenī, kā arī noteikt ierobežojuma apmēru un piemērošanas nosacījumus. </w:t>
      </w:r>
    </w:p>
    <w:p w14:paraId="5BAB91C7" w14:textId="01F522D9" w:rsidR="000144E7" w:rsidRPr="000144E7" w:rsidRDefault="000144E7" w:rsidP="00AE4549">
      <w:pPr>
        <w:spacing w:after="60" w:line="240" w:lineRule="auto"/>
        <w:ind w:firstLine="720"/>
        <w:jc w:val="both"/>
        <w:rPr>
          <w:rFonts w:ascii="Times New Roman" w:hAnsi="Times New Roman" w:cs="Times New Roman"/>
          <w:color w:val="000000"/>
          <w:sz w:val="24"/>
          <w:szCs w:val="24"/>
        </w:rPr>
      </w:pPr>
      <w:r w:rsidRPr="000144E7">
        <w:rPr>
          <w:rFonts w:ascii="Times New Roman" w:hAnsi="Times New Roman" w:cs="Times New Roman"/>
          <w:color w:val="000000"/>
          <w:sz w:val="24"/>
          <w:szCs w:val="24"/>
        </w:rPr>
        <w:t xml:space="preserve">Būtiskākās likumdošanas </w:t>
      </w:r>
      <w:r w:rsidR="00AE4549">
        <w:rPr>
          <w:rFonts w:ascii="Times New Roman" w:hAnsi="Times New Roman" w:cs="Times New Roman"/>
          <w:color w:val="000000"/>
          <w:sz w:val="24"/>
          <w:szCs w:val="24"/>
        </w:rPr>
        <w:t>izmaiņas, kas ir spēkā no 2015.gada 1.</w:t>
      </w:r>
      <w:r w:rsidRPr="000144E7">
        <w:rPr>
          <w:rFonts w:ascii="Times New Roman" w:hAnsi="Times New Roman" w:cs="Times New Roman"/>
          <w:color w:val="000000"/>
          <w:sz w:val="24"/>
          <w:szCs w:val="24"/>
        </w:rPr>
        <w:t>janvāra, nosaka, ka netiks piemērots atbrīvojums nekustamā īpašuma nodokļa saimnieciskās darbības veikšanai paredzētām uzceltām vai rekonstruētām ēkām uz 12 mēnešiem kopš ēkas nodošanas ekspluatācijā.</w:t>
      </w:r>
    </w:p>
    <w:p w14:paraId="26A4C7EF" w14:textId="77777777" w:rsidR="000144E7" w:rsidRPr="00142A2C" w:rsidRDefault="000144E7" w:rsidP="00142A2C">
      <w:pPr>
        <w:spacing w:before="320" w:after="120" w:line="240" w:lineRule="auto"/>
        <w:ind w:firstLine="709"/>
        <w:jc w:val="both"/>
        <w:rPr>
          <w:rFonts w:ascii="Times New Roman" w:hAnsi="Times New Roman" w:cs="Times New Roman"/>
          <w:b/>
          <w:sz w:val="24"/>
          <w:szCs w:val="24"/>
        </w:rPr>
      </w:pPr>
      <w:r w:rsidRPr="00142A2C">
        <w:rPr>
          <w:rFonts w:ascii="Times New Roman" w:hAnsi="Times New Roman" w:cs="Times New Roman"/>
          <w:b/>
          <w:sz w:val="24"/>
          <w:szCs w:val="24"/>
        </w:rPr>
        <w:t>Iedzīvotāju ienākuma nodoklis</w:t>
      </w:r>
    </w:p>
    <w:p w14:paraId="1A96D7FF" w14:textId="4379F668" w:rsidR="000144E7" w:rsidRPr="000144E7" w:rsidRDefault="000144E7" w:rsidP="00AE4549">
      <w:pPr>
        <w:spacing w:after="60" w:line="240" w:lineRule="auto"/>
        <w:ind w:firstLine="720"/>
        <w:jc w:val="both"/>
        <w:rPr>
          <w:rFonts w:ascii="Times New Roman" w:hAnsi="Times New Roman" w:cs="Times New Roman"/>
          <w:iCs/>
          <w:sz w:val="24"/>
        </w:rPr>
      </w:pPr>
      <w:r w:rsidRPr="000144E7">
        <w:rPr>
          <w:rFonts w:ascii="Times New Roman" w:hAnsi="Times New Roman" w:cs="Times New Roman"/>
          <w:iCs/>
          <w:sz w:val="24"/>
        </w:rPr>
        <w:t>Sākotie</w:t>
      </w:r>
      <w:r w:rsidR="00AE4549">
        <w:rPr>
          <w:rFonts w:ascii="Times New Roman" w:hAnsi="Times New Roman" w:cs="Times New Roman"/>
          <w:iCs/>
          <w:sz w:val="24"/>
        </w:rPr>
        <w:t>s ekonomikas lejupslīdei, 2009.</w:t>
      </w:r>
      <w:r w:rsidRPr="000144E7">
        <w:rPr>
          <w:rFonts w:ascii="Times New Roman" w:hAnsi="Times New Roman" w:cs="Times New Roman"/>
          <w:iCs/>
          <w:sz w:val="24"/>
        </w:rPr>
        <w:t>gadā IIN ieņēmumi būtiski samazinājās, tomēr</w:t>
      </w:r>
      <w:r w:rsidR="00AE4549">
        <w:rPr>
          <w:rFonts w:ascii="Times New Roman" w:hAnsi="Times New Roman" w:cs="Times New Roman"/>
          <w:iCs/>
          <w:sz w:val="24"/>
        </w:rPr>
        <w:t>, ekonomikai atgūstoties, 2011.</w:t>
      </w:r>
      <w:r w:rsidRPr="000144E7">
        <w:rPr>
          <w:rFonts w:ascii="Times New Roman" w:hAnsi="Times New Roman" w:cs="Times New Roman"/>
          <w:iCs/>
          <w:sz w:val="24"/>
        </w:rPr>
        <w:t>gadā IIN ieņēmum</w:t>
      </w:r>
      <w:r w:rsidR="00AE4549">
        <w:rPr>
          <w:rFonts w:ascii="Times New Roman" w:hAnsi="Times New Roman" w:cs="Times New Roman"/>
          <w:iCs/>
          <w:sz w:val="24"/>
        </w:rPr>
        <w:t>i pieauga, neskatoties uz 2011.</w:t>
      </w:r>
      <w:r w:rsidRPr="000144E7">
        <w:rPr>
          <w:rFonts w:ascii="Times New Roman" w:hAnsi="Times New Roman" w:cs="Times New Roman"/>
          <w:iCs/>
          <w:sz w:val="24"/>
        </w:rPr>
        <w:t>gadā veiktajām izmaiņām likumdošanas normās, tai skaitā, likmes samazināšanu no 26% uz 25%, neapliekamā minimuma palielināšanu no 49,80 </w:t>
      </w:r>
      <w:r w:rsidRPr="000144E7">
        <w:rPr>
          <w:rFonts w:ascii="Times New Roman" w:hAnsi="Times New Roman" w:cs="Times New Roman"/>
          <w:i/>
          <w:iCs/>
          <w:sz w:val="24"/>
        </w:rPr>
        <w:t>euro</w:t>
      </w:r>
      <w:r w:rsidRPr="000144E7">
        <w:rPr>
          <w:rFonts w:ascii="Times New Roman" w:hAnsi="Times New Roman" w:cs="Times New Roman"/>
          <w:iCs/>
          <w:sz w:val="24"/>
        </w:rPr>
        <w:t xml:space="preserve"> uz 64,03 </w:t>
      </w:r>
      <w:r w:rsidRPr="000144E7">
        <w:rPr>
          <w:rFonts w:ascii="Times New Roman" w:hAnsi="Times New Roman" w:cs="Times New Roman"/>
          <w:i/>
          <w:iCs/>
          <w:sz w:val="24"/>
        </w:rPr>
        <w:t>euro</w:t>
      </w:r>
      <w:r w:rsidRPr="000144E7">
        <w:rPr>
          <w:rFonts w:ascii="Times New Roman" w:hAnsi="Times New Roman" w:cs="Times New Roman"/>
          <w:iCs/>
          <w:sz w:val="24"/>
        </w:rPr>
        <w:t xml:space="preserve"> mēnesī un atvieglojuma apmēra par apgādībā esošu personu palielināšanu no 89,64 </w:t>
      </w:r>
      <w:r w:rsidRPr="000144E7">
        <w:rPr>
          <w:rFonts w:ascii="Times New Roman" w:hAnsi="Times New Roman" w:cs="Times New Roman"/>
          <w:i/>
          <w:iCs/>
          <w:sz w:val="24"/>
        </w:rPr>
        <w:t>euro</w:t>
      </w:r>
      <w:r w:rsidRPr="000144E7">
        <w:rPr>
          <w:rFonts w:ascii="Times New Roman" w:hAnsi="Times New Roman" w:cs="Times New Roman"/>
          <w:iCs/>
          <w:sz w:val="24"/>
        </w:rPr>
        <w:t xml:space="preserve"> uz 99,60 </w:t>
      </w:r>
      <w:r w:rsidRPr="000144E7">
        <w:rPr>
          <w:rFonts w:ascii="Times New Roman" w:hAnsi="Times New Roman" w:cs="Times New Roman"/>
          <w:i/>
          <w:iCs/>
          <w:sz w:val="24"/>
        </w:rPr>
        <w:t>euro</w:t>
      </w:r>
      <w:r w:rsidRPr="000144E7">
        <w:rPr>
          <w:rFonts w:ascii="Times New Roman" w:hAnsi="Times New Roman" w:cs="Times New Roman"/>
          <w:iCs/>
          <w:sz w:val="24"/>
        </w:rPr>
        <w:t xml:space="preserve"> mēnesī.</w:t>
      </w:r>
    </w:p>
    <w:p w14:paraId="27E8FFA5" w14:textId="77777777" w:rsidR="000144E7" w:rsidRPr="000144E7" w:rsidRDefault="000144E7" w:rsidP="00AE4549">
      <w:pPr>
        <w:spacing w:after="60" w:line="240" w:lineRule="auto"/>
        <w:ind w:firstLine="720"/>
        <w:jc w:val="both"/>
        <w:rPr>
          <w:rFonts w:ascii="Times New Roman" w:hAnsi="Times New Roman" w:cs="Times New Roman"/>
          <w:iCs/>
          <w:sz w:val="24"/>
        </w:rPr>
      </w:pPr>
      <w:r w:rsidRPr="000144E7">
        <w:rPr>
          <w:rFonts w:ascii="Times New Roman" w:hAnsi="Times New Roman" w:cs="Times New Roman"/>
          <w:iCs/>
          <w:sz w:val="24"/>
        </w:rPr>
        <w:t>Būtiskākās izmaiņas, kas ietekmēs iedzīvotāju ienākuma nodokļa ieņēmumus 2015.gadā, saistāmas ar minimālās mēneša darba algas palielināšanu par 40 </w:t>
      </w:r>
      <w:r w:rsidRPr="000144E7">
        <w:rPr>
          <w:rFonts w:ascii="Times New Roman" w:hAnsi="Times New Roman" w:cs="Times New Roman"/>
          <w:i/>
          <w:iCs/>
          <w:sz w:val="24"/>
        </w:rPr>
        <w:t>euro</w:t>
      </w:r>
      <w:r w:rsidRPr="000144E7">
        <w:rPr>
          <w:rFonts w:ascii="Times New Roman" w:hAnsi="Times New Roman" w:cs="Times New Roman"/>
          <w:iCs/>
          <w:sz w:val="24"/>
        </w:rPr>
        <w:t xml:space="preserve"> (no 320 </w:t>
      </w:r>
      <w:r w:rsidRPr="000144E7">
        <w:rPr>
          <w:rFonts w:ascii="Times New Roman" w:hAnsi="Times New Roman" w:cs="Times New Roman"/>
          <w:i/>
          <w:iCs/>
          <w:sz w:val="24"/>
        </w:rPr>
        <w:t>euro</w:t>
      </w:r>
      <w:r w:rsidRPr="000144E7">
        <w:rPr>
          <w:rFonts w:ascii="Times New Roman" w:hAnsi="Times New Roman" w:cs="Times New Roman"/>
          <w:iCs/>
          <w:sz w:val="24"/>
        </w:rPr>
        <w:t xml:space="preserve"> līdz 360 </w:t>
      </w:r>
      <w:r w:rsidRPr="000144E7">
        <w:rPr>
          <w:rFonts w:ascii="Times New Roman" w:hAnsi="Times New Roman" w:cs="Times New Roman"/>
          <w:i/>
          <w:iCs/>
          <w:sz w:val="24"/>
        </w:rPr>
        <w:t>euro</w:t>
      </w:r>
      <w:r w:rsidRPr="000144E7">
        <w:rPr>
          <w:rFonts w:ascii="Times New Roman" w:hAnsi="Times New Roman" w:cs="Times New Roman"/>
          <w:iCs/>
          <w:sz w:val="24"/>
        </w:rPr>
        <w:t>), kā arī likmes samazināšanu par 1 procentpunktu (no 24% līdz 23%).</w:t>
      </w:r>
    </w:p>
    <w:p w14:paraId="30A424A6" w14:textId="77777777" w:rsidR="000144E7" w:rsidRDefault="000144E7" w:rsidP="00AE4549">
      <w:pPr>
        <w:pStyle w:val="ListParagraph"/>
        <w:spacing w:after="60" w:line="240" w:lineRule="auto"/>
        <w:ind w:left="0" w:firstLine="720"/>
        <w:contextualSpacing w:val="0"/>
        <w:jc w:val="both"/>
        <w:rPr>
          <w:rFonts w:ascii="Times New Roman" w:hAnsi="Times New Roman"/>
          <w:iCs/>
          <w:sz w:val="24"/>
        </w:rPr>
      </w:pPr>
      <w:r>
        <w:rPr>
          <w:rFonts w:ascii="Times New Roman" w:hAnsi="Times New Roman"/>
          <w:iCs/>
          <w:sz w:val="24"/>
        </w:rPr>
        <w:t xml:space="preserve">Papildus </w:t>
      </w:r>
      <w:r w:rsidRPr="00F4605C">
        <w:rPr>
          <w:rFonts w:ascii="Times New Roman" w:hAnsi="Times New Roman"/>
          <w:iCs/>
          <w:sz w:val="24"/>
        </w:rPr>
        <w:t>IIN ieņēmumus 2015.</w:t>
      </w:r>
      <w:r>
        <w:rPr>
          <w:rFonts w:ascii="Times New Roman" w:hAnsi="Times New Roman"/>
          <w:iCs/>
          <w:sz w:val="24"/>
        </w:rPr>
        <w:t xml:space="preserve"> gadā </w:t>
      </w:r>
      <w:r w:rsidRPr="00F4605C">
        <w:rPr>
          <w:rFonts w:ascii="Times New Roman" w:hAnsi="Times New Roman"/>
          <w:iCs/>
          <w:sz w:val="24"/>
        </w:rPr>
        <w:t>ietekmēs a</w:t>
      </w:r>
      <w:r>
        <w:rPr>
          <w:rFonts w:ascii="Times New Roman" w:hAnsi="Times New Roman"/>
          <w:iCs/>
          <w:sz w:val="24"/>
        </w:rPr>
        <w:t>rī citas likumdošanas izmaiņas</w:t>
      </w:r>
      <w:r w:rsidRPr="00F4605C">
        <w:rPr>
          <w:rFonts w:ascii="Times New Roman" w:hAnsi="Times New Roman"/>
          <w:iCs/>
          <w:sz w:val="24"/>
        </w:rPr>
        <w:t>:</w:t>
      </w:r>
    </w:p>
    <w:p w14:paraId="241EC7A1" w14:textId="77777777" w:rsidR="000144E7" w:rsidRPr="005542D2" w:rsidRDefault="000144E7" w:rsidP="008920E5">
      <w:pPr>
        <w:pStyle w:val="ListParagraph"/>
        <w:numPr>
          <w:ilvl w:val="0"/>
          <w:numId w:val="9"/>
        </w:numPr>
        <w:spacing w:after="60" w:line="240" w:lineRule="auto"/>
        <w:ind w:left="1134" w:hanging="283"/>
        <w:contextualSpacing w:val="0"/>
        <w:jc w:val="both"/>
        <w:rPr>
          <w:szCs w:val="24"/>
        </w:rPr>
      </w:pPr>
      <w:r>
        <w:rPr>
          <w:rFonts w:ascii="Times New Roman" w:hAnsi="Times New Roman"/>
          <w:sz w:val="24"/>
          <w:szCs w:val="24"/>
        </w:rPr>
        <w:t>ēnu pasākumu ieviešana</w:t>
      </w:r>
      <w:r w:rsidRPr="005542D2">
        <w:rPr>
          <w:rFonts w:ascii="Times New Roman" w:hAnsi="Times New Roman"/>
          <w:sz w:val="24"/>
          <w:szCs w:val="24"/>
        </w:rPr>
        <w:t>;</w:t>
      </w:r>
    </w:p>
    <w:p w14:paraId="4BDD1E5D" w14:textId="77777777" w:rsidR="000144E7" w:rsidRPr="005542D2" w:rsidRDefault="000144E7" w:rsidP="008920E5">
      <w:pPr>
        <w:pStyle w:val="ListParagraph"/>
        <w:numPr>
          <w:ilvl w:val="0"/>
          <w:numId w:val="9"/>
        </w:numPr>
        <w:spacing w:after="60" w:line="240" w:lineRule="auto"/>
        <w:ind w:left="1134" w:hanging="283"/>
        <w:contextualSpacing w:val="0"/>
        <w:jc w:val="both"/>
        <w:rPr>
          <w:rFonts w:ascii="Times New Roman" w:hAnsi="Times New Roman"/>
          <w:sz w:val="24"/>
          <w:szCs w:val="24"/>
        </w:rPr>
      </w:pPr>
      <w:r>
        <w:rPr>
          <w:rFonts w:ascii="Times New Roman" w:hAnsi="Times New Roman"/>
          <w:sz w:val="24"/>
          <w:szCs w:val="24"/>
        </w:rPr>
        <w:t>ā</w:t>
      </w:r>
      <w:r w:rsidRPr="005542D2">
        <w:rPr>
          <w:rFonts w:ascii="Times New Roman" w:hAnsi="Times New Roman"/>
          <w:sz w:val="24"/>
          <w:szCs w:val="24"/>
        </w:rPr>
        <w:t>rvalstu pensionāru neapliekamā minimuma piemērošanas izmaiņas</w:t>
      </w:r>
      <w:r>
        <w:rPr>
          <w:rFonts w:ascii="Times New Roman" w:hAnsi="Times New Roman"/>
          <w:sz w:val="24"/>
          <w:szCs w:val="24"/>
        </w:rPr>
        <w:t xml:space="preserve">, kas </w:t>
      </w:r>
      <w:r w:rsidRPr="005542D2">
        <w:rPr>
          <w:rFonts w:ascii="Times New Roman" w:hAnsi="Times New Roman"/>
          <w:sz w:val="24"/>
          <w:szCs w:val="24"/>
        </w:rPr>
        <w:t>paredz, ka persona, kurai ir piešķirta vecuma pensija saskaņā ar likumu “Par valsts pensijām” vai vecuma pensija atbilstoši ārvalsts normatīvajiem aktiem, pensionāru neapliekamo minimumu 235 </w:t>
      </w:r>
      <w:r w:rsidRPr="00AE4549">
        <w:rPr>
          <w:rFonts w:ascii="Times New Roman" w:hAnsi="Times New Roman"/>
          <w:i/>
          <w:sz w:val="24"/>
          <w:szCs w:val="24"/>
        </w:rPr>
        <w:t>euro</w:t>
      </w:r>
      <w:r w:rsidRPr="005542D2">
        <w:rPr>
          <w:rFonts w:ascii="Times New Roman" w:hAnsi="Times New Roman"/>
          <w:sz w:val="24"/>
          <w:szCs w:val="24"/>
        </w:rPr>
        <w:t xml:space="preserve"> mēnesī ir tiesīga saņemt, ja tā ir sasniegusi likumā “Par valsts pensijām” noteikto pensionēšanās vecumu;</w:t>
      </w:r>
    </w:p>
    <w:p w14:paraId="2163E8AF" w14:textId="2A5DE76F" w:rsidR="000144E7" w:rsidRPr="00142A2C" w:rsidRDefault="000144E7" w:rsidP="00142A2C">
      <w:pPr>
        <w:pStyle w:val="ListParagraph"/>
        <w:numPr>
          <w:ilvl w:val="0"/>
          <w:numId w:val="9"/>
        </w:numPr>
        <w:spacing w:after="60" w:line="240" w:lineRule="auto"/>
        <w:ind w:left="1134" w:hanging="283"/>
        <w:contextualSpacing w:val="0"/>
        <w:jc w:val="both"/>
        <w:rPr>
          <w:rFonts w:ascii="Times New Roman" w:hAnsi="Times New Roman"/>
          <w:sz w:val="24"/>
          <w:szCs w:val="24"/>
        </w:rPr>
      </w:pPr>
      <w:r w:rsidRPr="005542D2">
        <w:rPr>
          <w:rFonts w:ascii="Times New Roman" w:hAnsi="Times New Roman"/>
          <w:sz w:val="24"/>
          <w:szCs w:val="24"/>
        </w:rPr>
        <w:t>izmaiņas atvieglojum</w:t>
      </w:r>
      <w:r>
        <w:rPr>
          <w:rFonts w:ascii="Times New Roman" w:hAnsi="Times New Roman"/>
          <w:sz w:val="24"/>
          <w:szCs w:val="24"/>
        </w:rPr>
        <w:t>u</w:t>
      </w:r>
      <w:r w:rsidRPr="005542D2">
        <w:rPr>
          <w:rFonts w:ascii="Times New Roman" w:hAnsi="Times New Roman"/>
          <w:sz w:val="24"/>
          <w:szCs w:val="24"/>
        </w:rPr>
        <w:t xml:space="preserve"> par apgādājamajām personām</w:t>
      </w:r>
      <w:r>
        <w:rPr>
          <w:rFonts w:ascii="Times New Roman" w:hAnsi="Times New Roman"/>
          <w:sz w:val="24"/>
          <w:szCs w:val="24"/>
        </w:rPr>
        <w:t xml:space="preserve"> piemērošanā, </w:t>
      </w:r>
      <w:r w:rsidRPr="005542D2">
        <w:rPr>
          <w:rFonts w:ascii="Times New Roman" w:hAnsi="Times New Roman"/>
          <w:sz w:val="24"/>
          <w:szCs w:val="24"/>
        </w:rPr>
        <w:t>paredz</w:t>
      </w:r>
      <w:r>
        <w:rPr>
          <w:rFonts w:ascii="Times New Roman" w:hAnsi="Times New Roman"/>
          <w:sz w:val="24"/>
          <w:szCs w:val="24"/>
        </w:rPr>
        <w:t>ot</w:t>
      </w:r>
      <w:r w:rsidRPr="005542D2">
        <w:rPr>
          <w:rFonts w:ascii="Times New Roman" w:hAnsi="Times New Roman"/>
          <w:sz w:val="24"/>
          <w:szCs w:val="24"/>
        </w:rPr>
        <w:t>, ka turpmāk iedzīvotāju ienākuma nodokļu maksātājam varēs piemērot nodokļa atvieglojumu par apgādībā esošu personu, ja apgādājamā persona, kas  mācās vispārējās, profesionālās, augstākās vai speciālās izglītības iestādē līdz 19 gadu vecumam, vasaras brīvlaikā saņems ar nodokli apliekamus ienākumus.</w:t>
      </w:r>
    </w:p>
    <w:p w14:paraId="445CD49B" w14:textId="77777777" w:rsidR="00142A2C" w:rsidRDefault="00142A2C">
      <w:pPr>
        <w:rPr>
          <w:rFonts w:ascii="Times New Roman" w:eastAsia="Times New Roman" w:hAnsi="Times New Roman" w:cs="Times New Roman"/>
          <w:b/>
          <w:sz w:val="24"/>
          <w:szCs w:val="20"/>
        </w:rPr>
      </w:pPr>
      <w:r>
        <w:rPr>
          <w:rFonts w:ascii="Times New Roman" w:hAnsi="Times New Roman"/>
        </w:rPr>
        <w:br w:type="page"/>
      </w:r>
    </w:p>
    <w:p w14:paraId="10E24CE1" w14:textId="2A1FF62E" w:rsidR="000144E7" w:rsidRPr="00DC6CA6" w:rsidRDefault="00C81719" w:rsidP="005812B4">
      <w:pPr>
        <w:pStyle w:val="T"/>
        <w:spacing w:after="60"/>
        <w:ind w:left="0"/>
        <w:jc w:val="right"/>
        <w:rPr>
          <w:rFonts w:ascii="Times New Roman" w:hAnsi="Times New Roman"/>
        </w:rPr>
      </w:pPr>
      <w:r>
        <w:rPr>
          <w:rFonts w:ascii="Times New Roman" w:hAnsi="Times New Roman"/>
        </w:rPr>
        <w:t>6.5.</w:t>
      </w:r>
      <w:r w:rsidR="000144E7" w:rsidRPr="00DC6CA6">
        <w:rPr>
          <w:rFonts w:ascii="Times New Roman" w:hAnsi="Times New Roman"/>
        </w:rPr>
        <w:t>tabula. Nodokļu politikas būtiskāko izmaiņu ietekme uz</w:t>
      </w:r>
      <w:r w:rsidR="00AE4549">
        <w:rPr>
          <w:rFonts w:ascii="Times New Roman" w:hAnsi="Times New Roman"/>
        </w:rPr>
        <w:t xml:space="preserve"> IIN</w:t>
      </w:r>
      <w:r w:rsidR="000144E7" w:rsidRPr="00DC6CA6">
        <w:rPr>
          <w:rFonts w:ascii="Times New Roman" w:hAnsi="Times New Roman"/>
        </w:rPr>
        <w:t xml:space="preserve"> ieņēmumiem, milj. </w:t>
      </w:r>
      <w:r w:rsidR="000144E7" w:rsidRPr="00DC6CA6">
        <w:rPr>
          <w:rFonts w:ascii="Times New Roman" w:hAnsi="Times New Roman"/>
          <w:i/>
          <w:szCs w:val="24"/>
        </w:rPr>
        <w:t>euro</w:t>
      </w:r>
    </w:p>
    <w:tbl>
      <w:tblPr>
        <w:tblStyle w:val="GridTable6ColorfulAccent1"/>
        <w:tblW w:w="9424" w:type="dxa"/>
        <w:jc w:val="center"/>
        <w:tblLayout w:type="fixed"/>
        <w:tblLook w:val="04A0" w:firstRow="1" w:lastRow="0" w:firstColumn="1" w:lastColumn="0" w:noHBand="0" w:noVBand="1"/>
      </w:tblPr>
      <w:tblGrid>
        <w:gridCol w:w="5881"/>
        <w:gridCol w:w="993"/>
        <w:gridCol w:w="850"/>
        <w:gridCol w:w="850"/>
        <w:gridCol w:w="850"/>
      </w:tblGrid>
      <w:tr w:rsidR="00E055A8" w:rsidRPr="00E055A8" w14:paraId="6C8C77A1" w14:textId="77777777" w:rsidTr="00E055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81" w:type="dxa"/>
          </w:tcPr>
          <w:p w14:paraId="54AC1C45" w14:textId="77777777" w:rsidR="000144E7" w:rsidRPr="00E055A8" w:rsidRDefault="000144E7" w:rsidP="00E773FD">
            <w:pPr>
              <w:pStyle w:val="tabteksts"/>
              <w:rPr>
                <w:color w:val="auto"/>
                <w:highlight w:val="yellow"/>
              </w:rPr>
            </w:pPr>
          </w:p>
        </w:tc>
        <w:tc>
          <w:tcPr>
            <w:tcW w:w="993" w:type="dxa"/>
          </w:tcPr>
          <w:p w14:paraId="69C5564F"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2015</w:t>
            </w:r>
          </w:p>
        </w:tc>
        <w:tc>
          <w:tcPr>
            <w:tcW w:w="850" w:type="dxa"/>
          </w:tcPr>
          <w:p w14:paraId="528D0D55"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2016</w:t>
            </w:r>
          </w:p>
        </w:tc>
        <w:tc>
          <w:tcPr>
            <w:tcW w:w="850" w:type="dxa"/>
          </w:tcPr>
          <w:p w14:paraId="084560A8"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2017</w:t>
            </w:r>
          </w:p>
        </w:tc>
        <w:tc>
          <w:tcPr>
            <w:tcW w:w="850" w:type="dxa"/>
          </w:tcPr>
          <w:p w14:paraId="6899BA49"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2018</w:t>
            </w:r>
          </w:p>
        </w:tc>
      </w:tr>
      <w:tr w:rsidR="00E055A8" w:rsidRPr="00E055A8" w14:paraId="2B21B431"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81" w:type="dxa"/>
          </w:tcPr>
          <w:p w14:paraId="63D65804" w14:textId="77777777" w:rsidR="000144E7" w:rsidRPr="00E055A8" w:rsidRDefault="000144E7" w:rsidP="00E773FD">
            <w:pPr>
              <w:pStyle w:val="tabteksts"/>
              <w:rPr>
                <w:b w:val="0"/>
                <w:color w:val="auto"/>
                <w:highlight w:val="yellow"/>
              </w:rPr>
            </w:pPr>
            <w:r w:rsidRPr="00E055A8">
              <w:rPr>
                <w:b w:val="0"/>
                <w:color w:val="auto"/>
              </w:rPr>
              <w:t xml:space="preserve">IIN likmes samazināšana 2015. gadā  no 24% līdz 23% un 2016.gadā no 23% līdz 22% </w:t>
            </w:r>
          </w:p>
        </w:tc>
        <w:tc>
          <w:tcPr>
            <w:tcW w:w="993" w:type="dxa"/>
            <w:vAlign w:val="center"/>
          </w:tcPr>
          <w:p w14:paraId="30FB8D76"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-53,8</w:t>
            </w:r>
          </w:p>
        </w:tc>
        <w:tc>
          <w:tcPr>
            <w:tcW w:w="850" w:type="dxa"/>
            <w:vAlign w:val="center"/>
          </w:tcPr>
          <w:p w14:paraId="3D6EB2F2"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-59,6</w:t>
            </w:r>
          </w:p>
        </w:tc>
        <w:tc>
          <w:tcPr>
            <w:tcW w:w="850" w:type="dxa"/>
            <w:vAlign w:val="center"/>
          </w:tcPr>
          <w:p w14:paraId="5AD3C7E7"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p>
        </w:tc>
        <w:tc>
          <w:tcPr>
            <w:tcW w:w="850" w:type="dxa"/>
            <w:vAlign w:val="center"/>
          </w:tcPr>
          <w:p w14:paraId="09A8C888"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p>
        </w:tc>
      </w:tr>
      <w:tr w:rsidR="00E055A8" w:rsidRPr="00E055A8" w14:paraId="3F990866"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5881" w:type="dxa"/>
          </w:tcPr>
          <w:p w14:paraId="470A8AC6" w14:textId="77777777" w:rsidR="000144E7" w:rsidRPr="00E055A8" w:rsidRDefault="000144E7" w:rsidP="00E773FD">
            <w:pPr>
              <w:pStyle w:val="tabteksts"/>
              <w:rPr>
                <w:b w:val="0"/>
                <w:color w:val="auto"/>
              </w:rPr>
            </w:pPr>
            <w:r w:rsidRPr="00E055A8">
              <w:rPr>
                <w:b w:val="0"/>
                <w:color w:val="auto"/>
              </w:rPr>
              <w:t xml:space="preserve">Valsts sociālās apdrošināšanas iemaksu griestu noteikšana 2014. gadā 46 400 </w:t>
            </w:r>
            <w:r w:rsidRPr="00E055A8">
              <w:rPr>
                <w:b w:val="0"/>
                <w:i/>
                <w:color w:val="auto"/>
                <w:szCs w:val="24"/>
              </w:rPr>
              <w:t>euro</w:t>
            </w:r>
            <w:r w:rsidRPr="00E055A8">
              <w:rPr>
                <w:b w:val="0"/>
                <w:color w:val="auto"/>
              </w:rPr>
              <w:t xml:space="preserve"> apmērā</w:t>
            </w:r>
          </w:p>
        </w:tc>
        <w:tc>
          <w:tcPr>
            <w:tcW w:w="993" w:type="dxa"/>
            <w:vAlign w:val="center"/>
          </w:tcPr>
          <w:p w14:paraId="7A7AB900"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+2,3</w:t>
            </w:r>
          </w:p>
        </w:tc>
        <w:tc>
          <w:tcPr>
            <w:tcW w:w="850" w:type="dxa"/>
            <w:vAlign w:val="center"/>
          </w:tcPr>
          <w:p w14:paraId="5118247E"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p>
        </w:tc>
        <w:tc>
          <w:tcPr>
            <w:tcW w:w="850" w:type="dxa"/>
            <w:vAlign w:val="center"/>
          </w:tcPr>
          <w:p w14:paraId="263CDA67"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p>
        </w:tc>
        <w:tc>
          <w:tcPr>
            <w:tcW w:w="850" w:type="dxa"/>
            <w:vAlign w:val="center"/>
          </w:tcPr>
          <w:p w14:paraId="07937916"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p>
        </w:tc>
      </w:tr>
      <w:tr w:rsidR="00E055A8" w:rsidRPr="00E055A8" w14:paraId="31986141"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81" w:type="dxa"/>
          </w:tcPr>
          <w:p w14:paraId="6CE40EDD" w14:textId="77777777" w:rsidR="000144E7" w:rsidRPr="00E055A8" w:rsidRDefault="000144E7" w:rsidP="00E773FD">
            <w:pPr>
              <w:pStyle w:val="tabteksts"/>
              <w:rPr>
                <w:b w:val="0"/>
                <w:color w:val="auto"/>
              </w:rPr>
            </w:pPr>
            <w:r w:rsidRPr="00E055A8">
              <w:rPr>
                <w:b w:val="0"/>
                <w:color w:val="auto"/>
              </w:rPr>
              <w:t xml:space="preserve">Valsts sociālās apdrošināšanas iemaksu griestu noteikšana 2015. gadā 48 600 </w:t>
            </w:r>
            <w:r w:rsidRPr="00E055A8">
              <w:rPr>
                <w:b w:val="0"/>
                <w:i/>
                <w:color w:val="auto"/>
                <w:szCs w:val="24"/>
              </w:rPr>
              <w:t>euro</w:t>
            </w:r>
            <w:r w:rsidRPr="00E055A8">
              <w:rPr>
                <w:b w:val="0"/>
                <w:color w:val="auto"/>
              </w:rPr>
              <w:t xml:space="preserve"> apmērā</w:t>
            </w:r>
          </w:p>
        </w:tc>
        <w:tc>
          <w:tcPr>
            <w:tcW w:w="993" w:type="dxa"/>
            <w:vAlign w:val="center"/>
          </w:tcPr>
          <w:p w14:paraId="041B1E03"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p>
        </w:tc>
        <w:tc>
          <w:tcPr>
            <w:tcW w:w="850" w:type="dxa"/>
            <w:vAlign w:val="center"/>
          </w:tcPr>
          <w:p w14:paraId="1F5B17F5"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-0,2</w:t>
            </w:r>
          </w:p>
        </w:tc>
        <w:tc>
          <w:tcPr>
            <w:tcW w:w="850" w:type="dxa"/>
            <w:vAlign w:val="center"/>
          </w:tcPr>
          <w:p w14:paraId="04B2D4B2"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p>
        </w:tc>
        <w:tc>
          <w:tcPr>
            <w:tcW w:w="850" w:type="dxa"/>
            <w:vAlign w:val="center"/>
          </w:tcPr>
          <w:p w14:paraId="5B96571A"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p>
        </w:tc>
      </w:tr>
      <w:tr w:rsidR="00E055A8" w:rsidRPr="00E055A8" w14:paraId="1785F7BE"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5881" w:type="dxa"/>
          </w:tcPr>
          <w:p w14:paraId="3DD7C82A" w14:textId="77777777" w:rsidR="000144E7" w:rsidRPr="00E055A8" w:rsidRDefault="000144E7" w:rsidP="00E773FD">
            <w:pPr>
              <w:pStyle w:val="tabteksts"/>
              <w:rPr>
                <w:b w:val="0"/>
                <w:color w:val="auto"/>
              </w:rPr>
            </w:pPr>
            <w:r w:rsidRPr="00E055A8">
              <w:rPr>
                <w:b w:val="0"/>
                <w:color w:val="auto"/>
              </w:rPr>
              <w:t xml:space="preserve">Mēneša minimālās algas paaugstināšana no 320 </w:t>
            </w:r>
            <w:r w:rsidRPr="00E055A8">
              <w:rPr>
                <w:b w:val="0"/>
                <w:i/>
                <w:color w:val="auto"/>
                <w:szCs w:val="24"/>
              </w:rPr>
              <w:t>euro</w:t>
            </w:r>
            <w:r w:rsidRPr="00E055A8">
              <w:rPr>
                <w:b w:val="0"/>
                <w:color w:val="auto"/>
              </w:rPr>
              <w:t xml:space="preserve"> līdz 360 </w:t>
            </w:r>
            <w:r w:rsidRPr="00E055A8">
              <w:rPr>
                <w:b w:val="0"/>
                <w:i/>
                <w:color w:val="auto"/>
                <w:szCs w:val="24"/>
              </w:rPr>
              <w:t>euro</w:t>
            </w:r>
          </w:p>
        </w:tc>
        <w:tc>
          <w:tcPr>
            <w:tcW w:w="993" w:type="dxa"/>
            <w:vAlign w:val="center"/>
          </w:tcPr>
          <w:p w14:paraId="1A26CD06"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+8,6</w:t>
            </w:r>
          </w:p>
        </w:tc>
        <w:tc>
          <w:tcPr>
            <w:tcW w:w="850" w:type="dxa"/>
            <w:vAlign w:val="center"/>
          </w:tcPr>
          <w:p w14:paraId="5D9429E2"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p>
        </w:tc>
        <w:tc>
          <w:tcPr>
            <w:tcW w:w="850" w:type="dxa"/>
            <w:vAlign w:val="center"/>
          </w:tcPr>
          <w:p w14:paraId="1817A09D"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p>
        </w:tc>
        <w:tc>
          <w:tcPr>
            <w:tcW w:w="850" w:type="dxa"/>
            <w:vAlign w:val="center"/>
          </w:tcPr>
          <w:p w14:paraId="5D7974E2"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p>
        </w:tc>
      </w:tr>
      <w:tr w:rsidR="00E055A8" w:rsidRPr="00E055A8" w14:paraId="69E0CC15"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81" w:type="dxa"/>
          </w:tcPr>
          <w:p w14:paraId="097DEE3F" w14:textId="77777777" w:rsidR="000144E7" w:rsidRPr="00E055A8" w:rsidRDefault="000144E7" w:rsidP="00E773FD">
            <w:pPr>
              <w:pStyle w:val="tabteksts"/>
              <w:rPr>
                <w:b w:val="0"/>
                <w:color w:val="auto"/>
              </w:rPr>
            </w:pPr>
            <w:r w:rsidRPr="00E055A8">
              <w:rPr>
                <w:b w:val="0"/>
                <w:color w:val="auto"/>
              </w:rPr>
              <w:t>Ārvalstu pensionāru neapliekamā minimuma piemērošanas izmaiņas</w:t>
            </w:r>
          </w:p>
        </w:tc>
        <w:tc>
          <w:tcPr>
            <w:tcW w:w="993" w:type="dxa"/>
            <w:vAlign w:val="center"/>
          </w:tcPr>
          <w:p w14:paraId="3F299F88"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+0,4</w:t>
            </w:r>
          </w:p>
        </w:tc>
        <w:tc>
          <w:tcPr>
            <w:tcW w:w="850" w:type="dxa"/>
            <w:vAlign w:val="center"/>
          </w:tcPr>
          <w:p w14:paraId="3ADA0A89"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highlight w:val="yellow"/>
              </w:rPr>
            </w:pPr>
          </w:p>
        </w:tc>
        <w:tc>
          <w:tcPr>
            <w:tcW w:w="850" w:type="dxa"/>
            <w:vAlign w:val="center"/>
          </w:tcPr>
          <w:p w14:paraId="59D2F359"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highlight w:val="yellow"/>
              </w:rPr>
            </w:pPr>
          </w:p>
        </w:tc>
        <w:tc>
          <w:tcPr>
            <w:tcW w:w="850" w:type="dxa"/>
            <w:vAlign w:val="center"/>
          </w:tcPr>
          <w:p w14:paraId="0CCE8569"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highlight w:val="yellow"/>
              </w:rPr>
            </w:pPr>
          </w:p>
        </w:tc>
      </w:tr>
      <w:tr w:rsidR="00E055A8" w:rsidRPr="00E055A8" w14:paraId="7BE17FCF" w14:textId="77777777" w:rsidTr="00E055A8">
        <w:trPr>
          <w:trHeight w:val="268"/>
          <w:jc w:val="center"/>
        </w:trPr>
        <w:tc>
          <w:tcPr>
            <w:cnfStyle w:val="001000000000" w:firstRow="0" w:lastRow="0" w:firstColumn="1" w:lastColumn="0" w:oddVBand="0" w:evenVBand="0" w:oddHBand="0" w:evenHBand="0" w:firstRowFirstColumn="0" w:firstRowLastColumn="0" w:lastRowFirstColumn="0" w:lastRowLastColumn="0"/>
            <w:tcW w:w="5881" w:type="dxa"/>
          </w:tcPr>
          <w:p w14:paraId="700231A5" w14:textId="77777777" w:rsidR="000144E7" w:rsidRPr="00E055A8" w:rsidRDefault="000144E7" w:rsidP="00E773FD">
            <w:pPr>
              <w:pStyle w:val="tabteksts"/>
              <w:rPr>
                <w:b w:val="0"/>
                <w:color w:val="auto"/>
              </w:rPr>
            </w:pPr>
            <w:r w:rsidRPr="00E055A8">
              <w:rPr>
                <w:b w:val="0"/>
                <w:color w:val="auto"/>
              </w:rPr>
              <w:t xml:space="preserve">Pensiju indeksācija 2014. un 2015. gadā </w:t>
            </w:r>
          </w:p>
        </w:tc>
        <w:tc>
          <w:tcPr>
            <w:tcW w:w="993" w:type="dxa"/>
            <w:vAlign w:val="center"/>
          </w:tcPr>
          <w:p w14:paraId="1F3775FD"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+2,7</w:t>
            </w:r>
          </w:p>
        </w:tc>
        <w:tc>
          <w:tcPr>
            <w:tcW w:w="850" w:type="dxa"/>
            <w:vAlign w:val="center"/>
          </w:tcPr>
          <w:p w14:paraId="2DB625E1"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+1,9</w:t>
            </w:r>
          </w:p>
        </w:tc>
        <w:tc>
          <w:tcPr>
            <w:tcW w:w="850" w:type="dxa"/>
            <w:vAlign w:val="center"/>
          </w:tcPr>
          <w:p w14:paraId="3FD800B4"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+1,7</w:t>
            </w:r>
          </w:p>
        </w:tc>
        <w:tc>
          <w:tcPr>
            <w:tcW w:w="850" w:type="dxa"/>
            <w:vAlign w:val="center"/>
          </w:tcPr>
          <w:p w14:paraId="5C9FDCAB"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p>
        </w:tc>
      </w:tr>
      <w:tr w:rsidR="00E055A8" w:rsidRPr="00E055A8" w14:paraId="2AA07DB5"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81" w:type="dxa"/>
          </w:tcPr>
          <w:p w14:paraId="14F1136D" w14:textId="77777777" w:rsidR="000144E7" w:rsidRPr="00E055A8" w:rsidRDefault="000144E7" w:rsidP="00E773FD">
            <w:pPr>
              <w:pStyle w:val="tabteksts"/>
              <w:rPr>
                <w:b w:val="0"/>
                <w:color w:val="auto"/>
              </w:rPr>
            </w:pPr>
            <w:r w:rsidRPr="00E055A8">
              <w:rPr>
                <w:b w:val="0"/>
                <w:color w:val="auto"/>
              </w:rPr>
              <w:t xml:space="preserve">2014., 2015. un 2016. gadā no IIN atbrīvotas saņemtās summas, kas izmaksātas kā valsts vai ES atbalsts lauksaimniecībai un lauku attīstībai </w:t>
            </w:r>
          </w:p>
        </w:tc>
        <w:tc>
          <w:tcPr>
            <w:tcW w:w="993" w:type="dxa"/>
            <w:vAlign w:val="center"/>
          </w:tcPr>
          <w:p w14:paraId="7F82ED5F"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p>
        </w:tc>
        <w:tc>
          <w:tcPr>
            <w:tcW w:w="850" w:type="dxa"/>
            <w:vAlign w:val="center"/>
          </w:tcPr>
          <w:p w14:paraId="5CD95F3A"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p>
        </w:tc>
        <w:tc>
          <w:tcPr>
            <w:tcW w:w="850" w:type="dxa"/>
            <w:vAlign w:val="center"/>
          </w:tcPr>
          <w:p w14:paraId="1A272EE1"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highlight w:val="yellow"/>
              </w:rPr>
            </w:pPr>
          </w:p>
        </w:tc>
        <w:tc>
          <w:tcPr>
            <w:tcW w:w="850" w:type="dxa"/>
            <w:vAlign w:val="center"/>
          </w:tcPr>
          <w:p w14:paraId="6C3E3C69"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+2,2</w:t>
            </w:r>
          </w:p>
        </w:tc>
      </w:tr>
      <w:tr w:rsidR="00E055A8" w:rsidRPr="00E055A8" w14:paraId="096955EA"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5881" w:type="dxa"/>
          </w:tcPr>
          <w:p w14:paraId="6A036271" w14:textId="3D178CBB" w:rsidR="000144E7" w:rsidRPr="00E055A8" w:rsidRDefault="000144E7" w:rsidP="00AE4549">
            <w:pPr>
              <w:pStyle w:val="tabteksts"/>
              <w:rPr>
                <w:b w:val="0"/>
                <w:color w:val="auto"/>
                <w:highlight w:val="yellow"/>
              </w:rPr>
            </w:pPr>
            <w:r w:rsidRPr="00E055A8">
              <w:rPr>
                <w:b w:val="0"/>
                <w:color w:val="auto"/>
              </w:rPr>
              <w:t xml:space="preserve">Cīņa ar ēnu ekonomiku un citi pasākumi, lai uzlabotu nodokļu administrēšanu (t.sk.,  informācijas apmaiņas procesa uzlabošana starp finanšu iestādēm, Noziedzīgi iegūtu līdzekļu legalizācijas novēršanas dienestu un </w:t>
            </w:r>
            <w:r w:rsidR="00AE4549" w:rsidRPr="00E055A8">
              <w:rPr>
                <w:b w:val="0"/>
                <w:color w:val="auto"/>
              </w:rPr>
              <w:t>VID</w:t>
            </w:r>
            <w:r w:rsidRPr="00E055A8">
              <w:rPr>
                <w:b w:val="0"/>
                <w:color w:val="auto"/>
              </w:rPr>
              <w:t xml:space="preserve"> u.c. pasākumi)</w:t>
            </w:r>
          </w:p>
        </w:tc>
        <w:tc>
          <w:tcPr>
            <w:tcW w:w="993" w:type="dxa"/>
            <w:vAlign w:val="center"/>
          </w:tcPr>
          <w:p w14:paraId="1EE47327"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+7,9</w:t>
            </w:r>
          </w:p>
        </w:tc>
        <w:tc>
          <w:tcPr>
            <w:tcW w:w="850" w:type="dxa"/>
            <w:vAlign w:val="center"/>
          </w:tcPr>
          <w:p w14:paraId="3D225A70"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+4,7</w:t>
            </w:r>
          </w:p>
        </w:tc>
        <w:tc>
          <w:tcPr>
            <w:tcW w:w="850" w:type="dxa"/>
            <w:vAlign w:val="center"/>
          </w:tcPr>
          <w:p w14:paraId="69F44829"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highlight w:val="yellow"/>
              </w:rPr>
            </w:pPr>
          </w:p>
        </w:tc>
        <w:tc>
          <w:tcPr>
            <w:tcW w:w="850" w:type="dxa"/>
            <w:vAlign w:val="center"/>
          </w:tcPr>
          <w:p w14:paraId="5B81460D"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highlight w:val="yellow"/>
              </w:rPr>
            </w:pPr>
          </w:p>
        </w:tc>
      </w:tr>
      <w:tr w:rsidR="00E055A8" w:rsidRPr="00E055A8" w14:paraId="4014B8AF"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81" w:type="dxa"/>
          </w:tcPr>
          <w:p w14:paraId="2911A8C8" w14:textId="77777777" w:rsidR="000144E7" w:rsidRPr="00E055A8" w:rsidRDefault="000144E7" w:rsidP="00E773FD">
            <w:pPr>
              <w:pStyle w:val="tabteksts"/>
              <w:jc w:val="both"/>
              <w:rPr>
                <w:b w:val="0"/>
                <w:color w:val="auto"/>
              </w:rPr>
            </w:pPr>
            <w:r w:rsidRPr="00E055A8">
              <w:rPr>
                <w:b w:val="0"/>
                <w:color w:val="auto"/>
              </w:rPr>
              <w:t>Izmaiņu ietekme kopā:</w:t>
            </w:r>
          </w:p>
        </w:tc>
        <w:tc>
          <w:tcPr>
            <w:tcW w:w="993" w:type="dxa"/>
            <w:vAlign w:val="center"/>
          </w:tcPr>
          <w:p w14:paraId="2584D208"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b/>
                <w:color w:val="auto"/>
              </w:rPr>
            </w:pPr>
            <w:r w:rsidRPr="00E055A8">
              <w:rPr>
                <w:b/>
                <w:color w:val="auto"/>
              </w:rPr>
              <w:t>-31,9</w:t>
            </w:r>
          </w:p>
        </w:tc>
        <w:tc>
          <w:tcPr>
            <w:tcW w:w="850" w:type="dxa"/>
            <w:vAlign w:val="center"/>
          </w:tcPr>
          <w:p w14:paraId="737A3A6B"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b/>
                <w:color w:val="auto"/>
              </w:rPr>
            </w:pPr>
            <w:r w:rsidRPr="00E055A8">
              <w:rPr>
                <w:b/>
                <w:color w:val="auto"/>
              </w:rPr>
              <w:t>-53,3</w:t>
            </w:r>
          </w:p>
        </w:tc>
        <w:tc>
          <w:tcPr>
            <w:tcW w:w="850" w:type="dxa"/>
            <w:vAlign w:val="center"/>
          </w:tcPr>
          <w:p w14:paraId="33201FF2"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b/>
                <w:color w:val="auto"/>
              </w:rPr>
            </w:pPr>
            <w:r w:rsidRPr="00E055A8">
              <w:rPr>
                <w:b/>
                <w:color w:val="auto"/>
              </w:rPr>
              <w:t>+1,7</w:t>
            </w:r>
          </w:p>
        </w:tc>
        <w:tc>
          <w:tcPr>
            <w:tcW w:w="850" w:type="dxa"/>
            <w:vAlign w:val="center"/>
          </w:tcPr>
          <w:p w14:paraId="7276512A"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b/>
                <w:color w:val="auto"/>
              </w:rPr>
            </w:pPr>
            <w:r w:rsidRPr="00E055A8">
              <w:rPr>
                <w:b/>
                <w:color w:val="auto"/>
              </w:rPr>
              <w:t>+2,2</w:t>
            </w:r>
          </w:p>
        </w:tc>
      </w:tr>
    </w:tbl>
    <w:p w14:paraId="2B2B7CF0" w14:textId="1BE4FBE5" w:rsidR="000144E7" w:rsidRPr="000144E7" w:rsidRDefault="000144E7" w:rsidP="00AE4549">
      <w:pPr>
        <w:spacing w:before="120" w:after="60" w:line="240" w:lineRule="auto"/>
        <w:ind w:firstLine="720"/>
        <w:jc w:val="both"/>
        <w:rPr>
          <w:rFonts w:ascii="Times New Roman" w:hAnsi="Times New Roman" w:cs="Times New Roman"/>
          <w:iCs/>
          <w:sz w:val="24"/>
        </w:rPr>
      </w:pPr>
      <w:r w:rsidRPr="000144E7">
        <w:rPr>
          <w:rFonts w:ascii="Times New Roman" w:hAnsi="Times New Roman" w:cs="Times New Roman"/>
          <w:iCs/>
          <w:sz w:val="24"/>
        </w:rPr>
        <w:t>Vidēja termiņa makroekonomiskās attīstības prognozes 2015.gadā paredz stabilu darba samaksas fonda palielināšanos, kas savukārt palielinās darba nodokļu ieņēmumus turpmāko gadu laikā, kā arī IIN ieņēmumus ietekmēs veiktās likumdošanas izmaiņas.</w:t>
      </w:r>
    </w:p>
    <w:p w14:paraId="3BB7474A" w14:textId="77777777" w:rsidR="000144E7" w:rsidRPr="00142A2C" w:rsidRDefault="000144E7" w:rsidP="00142A2C">
      <w:pPr>
        <w:spacing w:before="320" w:after="120" w:line="240" w:lineRule="auto"/>
        <w:ind w:firstLine="709"/>
        <w:jc w:val="both"/>
        <w:rPr>
          <w:rFonts w:ascii="Times New Roman" w:hAnsi="Times New Roman" w:cs="Times New Roman"/>
          <w:b/>
          <w:sz w:val="24"/>
          <w:szCs w:val="24"/>
        </w:rPr>
      </w:pPr>
      <w:r w:rsidRPr="00142A2C">
        <w:rPr>
          <w:rFonts w:ascii="Times New Roman" w:hAnsi="Times New Roman" w:cs="Times New Roman"/>
          <w:b/>
          <w:sz w:val="24"/>
          <w:szCs w:val="24"/>
        </w:rPr>
        <w:t>Sociālās apdrošināšanas iemaksas</w:t>
      </w:r>
      <w:r w:rsidRPr="00142A2C">
        <w:rPr>
          <w:rFonts w:ascii="Times New Roman" w:hAnsi="Times New Roman" w:cs="Times New Roman"/>
          <w:b/>
          <w:sz w:val="24"/>
          <w:vertAlign w:val="superscript"/>
        </w:rPr>
        <w:footnoteReference w:id="19"/>
      </w:r>
    </w:p>
    <w:p w14:paraId="0136AD7D" w14:textId="77777777" w:rsidR="000144E7" w:rsidRPr="009E7B7D" w:rsidRDefault="000144E7" w:rsidP="00AE4549">
      <w:pPr>
        <w:spacing w:after="60" w:line="240" w:lineRule="auto"/>
        <w:ind w:firstLine="720"/>
        <w:jc w:val="both"/>
        <w:rPr>
          <w:iCs/>
          <w:vanish/>
          <w:specVanish/>
        </w:rPr>
      </w:pPr>
      <w:r w:rsidRPr="000144E7">
        <w:rPr>
          <w:rFonts w:ascii="Times New Roman" w:hAnsi="Times New Roman" w:cs="Times New Roman"/>
          <w:iCs/>
          <w:sz w:val="24"/>
        </w:rPr>
        <w:t xml:space="preserve">Vidēja termiņa sociālās apdrošināšanas iemaksu ieņēmumu dinamiku noteiks ne tikai prognozētais darba samaksas fonda pieaugums, bet arī veiktās izmaiņas likumdošanā un izmaiņas iemaksu likmēs valsts fondēto pensiju </w:t>
      </w:r>
      <w:r w:rsidRPr="000144E7">
        <w:rPr>
          <w:rFonts w:ascii="Times New Roman" w:hAnsi="Times New Roman" w:cs="Times New Roman"/>
          <w:iCs/>
          <w:sz w:val="24"/>
          <w:szCs w:val="24"/>
        </w:rPr>
        <w:t>shēmā.</w:t>
      </w:r>
      <w:r w:rsidRPr="000144E7">
        <w:rPr>
          <w:rStyle w:val="FootnoteReference"/>
          <w:rFonts w:ascii="Times New Roman" w:hAnsi="Times New Roman" w:cs="Times New Roman"/>
          <w:iCs/>
          <w:sz w:val="24"/>
          <w:szCs w:val="24"/>
        </w:rPr>
        <w:footnoteReference w:id="20"/>
      </w:r>
      <w:r w:rsidRPr="009E7B7D">
        <w:rPr>
          <w:iCs/>
        </w:rPr>
        <w:t xml:space="preserve"> </w:t>
      </w:r>
    </w:p>
    <w:p w14:paraId="29AA5274" w14:textId="77777777" w:rsidR="000144E7" w:rsidRPr="009E7B7D" w:rsidRDefault="000144E7" w:rsidP="00AE4549">
      <w:pPr>
        <w:spacing w:after="60" w:line="240" w:lineRule="auto"/>
        <w:ind w:firstLine="720"/>
        <w:jc w:val="both"/>
      </w:pPr>
    </w:p>
    <w:p w14:paraId="0629EEE8" w14:textId="705728D0" w:rsidR="000144E7" w:rsidRPr="000144E7" w:rsidRDefault="000144E7" w:rsidP="00AE4549">
      <w:pPr>
        <w:spacing w:after="60" w:line="240" w:lineRule="auto"/>
        <w:ind w:firstLine="720"/>
        <w:jc w:val="both"/>
        <w:rPr>
          <w:rFonts w:ascii="Times New Roman" w:hAnsi="Times New Roman" w:cs="Times New Roman"/>
          <w:sz w:val="24"/>
        </w:rPr>
      </w:pPr>
      <w:r w:rsidRPr="000144E7">
        <w:rPr>
          <w:rFonts w:ascii="Times New Roman" w:hAnsi="Times New Roman" w:cs="Times New Roman"/>
          <w:sz w:val="24"/>
        </w:rPr>
        <w:t>Būtiskā</w:t>
      </w:r>
      <w:r w:rsidR="00AE4549">
        <w:rPr>
          <w:rFonts w:ascii="Times New Roman" w:hAnsi="Times New Roman" w:cs="Times New Roman"/>
          <w:sz w:val="24"/>
        </w:rPr>
        <w:t>kās likumdošanas izmaiņas 2015.</w:t>
      </w:r>
      <w:r w:rsidRPr="000144E7">
        <w:rPr>
          <w:rFonts w:ascii="Times New Roman" w:hAnsi="Times New Roman" w:cs="Times New Roman"/>
          <w:sz w:val="24"/>
        </w:rPr>
        <w:t xml:space="preserve">gadā, kas ietekmē </w:t>
      </w:r>
      <w:r w:rsidRPr="000144E7">
        <w:rPr>
          <w:rFonts w:ascii="Times New Roman" w:hAnsi="Times New Roman" w:cs="Times New Roman"/>
          <w:iCs/>
          <w:sz w:val="24"/>
        </w:rPr>
        <w:t>sociālās apdrošināšanas iemaksu ieņēmumus,</w:t>
      </w:r>
      <w:r w:rsidRPr="000144E7">
        <w:rPr>
          <w:rFonts w:ascii="Times New Roman" w:hAnsi="Times New Roman" w:cs="Times New Roman"/>
          <w:sz w:val="24"/>
        </w:rPr>
        <w:t xml:space="preserve"> attiecas uz minimālās mēneša darba algas palielināšanas no 320 </w:t>
      </w:r>
      <w:r w:rsidRPr="000144E7">
        <w:rPr>
          <w:rFonts w:ascii="Times New Roman" w:hAnsi="Times New Roman" w:cs="Times New Roman"/>
          <w:i/>
          <w:sz w:val="24"/>
          <w:szCs w:val="24"/>
        </w:rPr>
        <w:t>euro</w:t>
      </w:r>
      <w:r w:rsidRPr="000144E7">
        <w:rPr>
          <w:rFonts w:ascii="Times New Roman" w:hAnsi="Times New Roman" w:cs="Times New Roman"/>
          <w:sz w:val="24"/>
        </w:rPr>
        <w:t xml:space="preserve"> līdz 360 </w:t>
      </w:r>
      <w:r w:rsidRPr="000144E7">
        <w:rPr>
          <w:rFonts w:ascii="Times New Roman" w:hAnsi="Times New Roman" w:cs="Times New Roman"/>
          <w:i/>
          <w:sz w:val="24"/>
          <w:szCs w:val="24"/>
        </w:rPr>
        <w:t xml:space="preserve">euro </w:t>
      </w:r>
      <w:r w:rsidRPr="000144E7">
        <w:rPr>
          <w:rFonts w:ascii="Times New Roman" w:hAnsi="Times New Roman" w:cs="Times New Roman"/>
          <w:sz w:val="24"/>
          <w:szCs w:val="24"/>
        </w:rPr>
        <w:t>un</w:t>
      </w:r>
      <w:r w:rsidRPr="000144E7">
        <w:rPr>
          <w:rFonts w:ascii="Times New Roman" w:hAnsi="Times New Roman" w:cs="Times New Roman"/>
          <w:sz w:val="24"/>
        </w:rPr>
        <w:t xml:space="preserve"> ēnu ekonomikas pasākumu ieviešanu.</w:t>
      </w:r>
    </w:p>
    <w:p w14:paraId="658463C5" w14:textId="17EBEB02" w:rsidR="000144E7" w:rsidRPr="00777672" w:rsidRDefault="00C81719" w:rsidP="005812B4">
      <w:pPr>
        <w:pStyle w:val="T"/>
        <w:spacing w:before="120" w:after="60"/>
        <w:ind w:left="0"/>
        <w:jc w:val="right"/>
        <w:rPr>
          <w:rFonts w:ascii="Times New Roman" w:hAnsi="Times New Roman"/>
        </w:rPr>
      </w:pPr>
      <w:r>
        <w:rPr>
          <w:rFonts w:ascii="Times New Roman" w:hAnsi="Times New Roman"/>
        </w:rPr>
        <w:t>6.6.</w:t>
      </w:r>
      <w:r w:rsidR="000144E7" w:rsidRPr="00777672">
        <w:rPr>
          <w:rFonts w:ascii="Times New Roman" w:hAnsi="Times New Roman"/>
        </w:rPr>
        <w:t>tabula. Nodokļu politikas būtiskāko izmaiņu ietekme uz sociālās apdrošināšanas iemaksu ieņēmumiem</w:t>
      </w:r>
      <w:r w:rsidR="000144E7" w:rsidRPr="001F01DA">
        <w:rPr>
          <w:rStyle w:val="FootnoteReference"/>
          <w:rFonts w:ascii="Times New Roman" w:hAnsi="Times New Roman"/>
        </w:rPr>
        <w:footnoteReference w:id="21"/>
      </w:r>
      <w:r w:rsidR="000144E7" w:rsidRPr="00777672">
        <w:rPr>
          <w:rFonts w:ascii="Times New Roman" w:hAnsi="Times New Roman"/>
        </w:rPr>
        <w:t>, milj. </w:t>
      </w:r>
      <w:r w:rsidR="000144E7" w:rsidRPr="00777672">
        <w:rPr>
          <w:rFonts w:ascii="Times New Roman" w:hAnsi="Times New Roman"/>
          <w:i/>
        </w:rPr>
        <w:t>euro</w:t>
      </w:r>
    </w:p>
    <w:tbl>
      <w:tblPr>
        <w:tblStyle w:val="GridTable6ColorfulAccent1"/>
        <w:tblW w:w="9162" w:type="dxa"/>
        <w:jc w:val="center"/>
        <w:tblLayout w:type="fixed"/>
        <w:tblLook w:val="04A0" w:firstRow="1" w:lastRow="0" w:firstColumn="1" w:lastColumn="0" w:noHBand="0" w:noVBand="1"/>
      </w:tblPr>
      <w:tblGrid>
        <w:gridCol w:w="6122"/>
        <w:gridCol w:w="992"/>
        <w:gridCol w:w="992"/>
        <w:gridCol w:w="1056"/>
      </w:tblGrid>
      <w:tr w:rsidR="00E055A8" w:rsidRPr="00E055A8" w14:paraId="402A234A" w14:textId="77777777" w:rsidTr="008055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2" w:type="dxa"/>
          </w:tcPr>
          <w:p w14:paraId="22F47145" w14:textId="77777777" w:rsidR="000144E7" w:rsidRPr="00E055A8" w:rsidRDefault="000144E7" w:rsidP="00E773FD">
            <w:pPr>
              <w:pStyle w:val="tabteksts"/>
              <w:rPr>
                <w:color w:val="auto"/>
                <w:highlight w:val="yellow"/>
              </w:rPr>
            </w:pPr>
          </w:p>
        </w:tc>
        <w:tc>
          <w:tcPr>
            <w:tcW w:w="992" w:type="dxa"/>
          </w:tcPr>
          <w:p w14:paraId="16AA270E"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2015</w:t>
            </w:r>
          </w:p>
        </w:tc>
        <w:tc>
          <w:tcPr>
            <w:tcW w:w="992" w:type="dxa"/>
          </w:tcPr>
          <w:p w14:paraId="18A90666"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2016</w:t>
            </w:r>
          </w:p>
        </w:tc>
        <w:tc>
          <w:tcPr>
            <w:tcW w:w="1056" w:type="dxa"/>
          </w:tcPr>
          <w:p w14:paraId="27674761"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2017</w:t>
            </w:r>
          </w:p>
        </w:tc>
      </w:tr>
      <w:tr w:rsidR="00E055A8" w:rsidRPr="00E055A8" w14:paraId="6A51AAFE" w14:textId="77777777" w:rsidTr="0080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2" w:type="dxa"/>
          </w:tcPr>
          <w:p w14:paraId="2B989990" w14:textId="699785AD" w:rsidR="000144E7" w:rsidRPr="00E055A8" w:rsidRDefault="000144E7" w:rsidP="00E773FD">
            <w:pPr>
              <w:pStyle w:val="tabteksts"/>
              <w:rPr>
                <w:b w:val="0"/>
                <w:color w:val="auto"/>
              </w:rPr>
            </w:pPr>
            <w:r w:rsidRPr="00E055A8">
              <w:rPr>
                <w:b w:val="0"/>
                <w:color w:val="auto"/>
              </w:rPr>
              <w:t>Valsts sociālās apdrošināšanas iemaksu griestu noteikšana</w:t>
            </w:r>
            <w:r w:rsidR="00AE4549" w:rsidRPr="00E055A8">
              <w:rPr>
                <w:b w:val="0"/>
                <w:color w:val="auto"/>
              </w:rPr>
              <w:t xml:space="preserve"> 2014.</w:t>
            </w:r>
            <w:r w:rsidRPr="00E055A8">
              <w:rPr>
                <w:b w:val="0"/>
                <w:color w:val="auto"/>
              </w:rPr>
              <w:t xml:space="preserve">gadā 46 400 </w:t>
            </w:r>
            <w:r w:rsidRPr="00E055A8">
              <w:rPr>
                <w:b w:val="0"/>
                <w:i/>
                <w:color w:val="auto"/>
                <w:szCs w:val="24"/>
              </w:rPr>
              <w:t>euro</w:t>
            </w:r>
            <w:r w:rsidRPr="00E055A8">
              <w:rPr>
                <w:b w:val="0"/>
                <w:color w:val="auto"/>
              </w:rPr>
              <w:t xml:space="preserve"> apmērā</w:t>
            </w:r>
          </w:p>
        </w:tc>
        <w:tc>
          <w:tcPr>
            <w:tcW w:w="992" w:type="dxa"/>
            <w:vAlign w:val="center"/>
          </w:tcPr>
          <w:p w14:paraId="1847EE53"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-33,7</w:t>
            </w:r>
          </w:p>
        </w:tc>
        <w:tc>
          <w:tcPr>
            <w:tcW w:w="992" w:type="dxa"/>
            <w:vAlign w:val="center"/>
          </w:tcPr>
          <w:p w14:paraId="1A8EA4CC"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p>
        </w:tc>
        <w:tc>
          <w:tcPr>
            <w:tcW w:w="1056" w:type="dxa"/>
            <w:vAlign w:val="center"/>
          </w:tcPr>
          <w:p w14:paraId="6D54D3E3"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p>
        </w:tc>
      </w:tr>
      <w:tr w:rsidR="00E055A8" w:rsidRPr="00E055A8" w14:paraId="5FECCAE4" w14:textId="77777777" w:rsidTr="008055B0">
        <w:trPr>
          <w:jc w:val="center"/>
        </w:trPr>
        <w:tc>
          <w:tcPr>
            <w:cnfStyle w:val="001000000000" w:firstRow="0" w:lastRow="0" w:firstColumn="1" w:lastColumn="0" w:oddVBand="0" w:evenVBand="0" w:oddHBand="0" w:evenHBand="0" w:firstRowFirstColumn="0" w:firstRowLastColumn="0" w:lastRowFirstColumn="0" w:lastRowLastColumn="0"/>
            <w:tcW w:w="6122" w:type="dxa"/>
          </w:tcPr>
          <w:p w14:paraId="5A19B21B" w14:textId="3B591AA2" w:rsidR="000144E7" w:rsidRPr="00E055A8" w:rsidRDefault="000144E7" w:rsidP="00E773FD">
            <w:pPr>
              <w:pStyle w:val="tabteksts"/>
              <w:rPr>
                <w:b w:val="0"/>
                <w:color w:val="auto"/>
              </w:rPr>
            </w:pPr>
            <w:r w:rsidRPr="00E055A8">
              <w:rPr>
                <w:b w:val="0"/>
                <w:color w:val="auto"/>
              </w:rPr>
              <w:t>Valsts sociālās apdrošināšanas iemaksu griestu noteikšana</w:t>
            </w:r>
            <w:r w:rsidR="00AE4549" w:rsidRPr="00E055A8">
              <w:rPr>
                <w:b w:val="0"/>
                <w:color w:val="auto"/>
              </w:rPr>
              <w:t xml:space="preserve"> 2015.</w:t>
            </w:r>
            <w:r w:rsidRPr="00E055A8">
              <w:rPr>
                <w:b w:val="0"/>
                <w:color w:val="auto"/>
                <w:szCs w:val="24"/>
              </w:rPr>
              <w:t>gadā</w:t>
            </w:r>
            <w:r w:rsidRPr="00E055A8">
              <w:rPr>
                <w:b w:val="0"/>
                <w:color w:val="auto"/>
              </w:rPr>
              <w:t xml:space="preserve"> 48 600 </w:t>
            </w:r>
            <w:r w:rsidRPr="00E055A8">
              <w:rPr>
                <w:b w:val="0"/>
                <w:i/>
                <w:color w:val="auto"/>
                <w:szCs w:val="24"/>
              </w:rPr>
              <w:t>euro</w:t>
            </w:r>
            <w:r w:rsidRPr="00E055A8">
              <w:rPr>
                <w:b w:val="0"/>
                <w:color w:val="auto"/>
              </w:rPr>
              <w:t xml:space="preserve"> ampērā</w:t>
            </w:r>
          </w:p>
        </w:tc>
        <w:tc>
          <w:tcPr>
            <w:tcW w:w="992" w:type="dxa"/>
            <w:vAlign w:val="center"/>
          </w:tcPr>
          <w:p w14:paraId="26D29BDD"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p>
        </w:tc>
        <w:tc>
          <w:tcPr>
            <w:tcW w:w="992" w:type="dxa"/>
            <w:vAlign w:val="center"/>
          </w:tcPr>
          <w:p w14:paraId="78B22FE5"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+3,2</w:t>
            </w:r>
          </w:p>
        </w:tc>
        <w:tc>
          <w:tcPr>
            <w:tcW w:w="1056" w:type="dxa"/>
            <w:vAlign w:val="center"/>
          </w:tcPr>
          <w:p w14:paraId="66E45063"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p>
        </w:tc>
      </w:tr>
      <w:tr w:rsidR="00E055A8" w:rsidRPr="00E055A8" w14:paraId="0F877CDF" w14:textId="77777777" w:rsidTr="0080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2" w:type="dxa"/>
          </w:tcPr>
          <w:p w14:paraId="1A30805F" w14:textId="41E19E18" w:rsidR="000144E7" w:rsidRPr="00E055A8" w:rsidRDefault="000144E7" w:rsidP="00E773FD">
            <w:pPr>
              <w:pStyle w:val="tabteksts"/>
              <w:rPr>
                <w:b w:val="0"/>
                <w:color w:val="auto"/>
              </w:rPr>
            </w:pPr>
            <w:r w:rsidRPr="00E055A8">
              <w:rPr>
                <w:b w:val="0"/>
                <w:color w:val="auto"/>
              </w:rPr>
              <w:t>Iemaksu likmes valsts fondēto pen</w:t>
            </w:r>
            <w:r w:rsidR="00AE4549" w:rsidRPr="00E055A8">
              <w:rPr>
                <w:b w:val="0"/>
                <w:color w:val="auto"/>
              </w:rPr>
              <w:t>siju shēmā paaugstināšana 2015.</w:t>
            </w:r>
            <w:r w:rsidRPr="00E055A8">
              <w:rPr>
                <w:b w:val="0"/>
                <w:color w:val="auto"/>
              </w:rPr>
              <w:t>gadā no 4% līdz 5% un 2016.gadā no 5% līdz 6%</w:t>
            </w:r>
          </w:p>
        </w:tc>
        <w:tc>
          <w:tcPr>
            <w:tcW w:w="992" w:type="dxa"/>
            <w:vAlign w:val="center"/>
          </w:tcPr>
          <w:p w14:paraId="51B9736F"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-68,6</w:t>
            </w:r>
          </w:p>
        </w:tc>
        <w:tc>
          <w:tcPr>
            <w:tcW w:w="992" w:type="dxa"/>
            <w:vAlign w:val="center"/>
          </w:tcPr>
          <w:p w14:paraId="528E48A2"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-73,6</w:t>
            </w:r>
          </w:p>
        </w:tc>
        <w:tc>
          <w:tcPr>
            <w:tcW w:w="1056" w:type="dxa"/>
            <w:vAlign w:val="center"/>
          </w:tcPr>
          <w:p w14:paraId="37854A7D"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p>
        </w:tc>
      </w:tr>
      <w:tr w:rsidR="00E055A8" w:rsidRPr="00E055A8" w14:paraId="3CCDF53D" w14:textId="77777777" w:rsidTr="008055B0">
        <w:trPr>
          <w:trHeight w:val="268"/>
          <w:jc w:val="center"/>
        </w:trPr>
        <w:tc>
          <w:tcPr>
            <w:cnfStyle w:val="001000000000" w:firstRow="0" w:lastRow="0" w:firstColumn="1" w:lastColumn="0" w:oddVBand="0" w:evenVBand="0" w:oddHBand="0" w:evenHBand="0" w:firstRowFirstColumn="0" w:firstRowLastColumn="0" w:lastRowFirstColumn="0" w:lastRowLastColumn="0"/>
            <w:tcW w:w="6122" w:type="dxa"/>
          </w:tcPr>
          <w:p w14:paraId="5BCE3A39" w14:textId="13D98546" w:rsidR="000144E7" w:rsidRPr="00E055A8" w:rsidRDefault="000144E7" w:rsidP="00E773FD">
            <w:pPr>
              <w:pStyle w:val="tabteksts"/>
              <w:rPr>
                <w:b w:val="0"/>
                <w:color w:val="auto"/>
              </w:rPr>
            </w:pPr>
            <w:r w:rsidRPr="00E055A8">
              <w:rPr>
                <w:b w:val="0"/>
                <w:color w:val="auto"/>
              </w:rPr>
              <w:t xml:space="preserve">Mikrouzņēmuma ienākuma nodokļa likmes paaugstināšana no 9% līdz 11% 2015.gadā , 2016.gadā no 11% līdz 13% un 2017.gadā no 13% līdz 15%. Izmaiņas piemērojamas mikrouzņēmumiem, kuru apgrozījums ir no 7 000 līdz 100 000 </w:t>
            </w:r>
            <w:r w:rsidRPr="00E055A8">
              <w:rPr>
                <w:b w:val="0"/>
                <w:i/>
                <w:color w:val="auto"/>
              </w:rPr>
              <w:t>euro</w:t>
            </w:r>
            <w:r w:rsidRPr="00E055A8">
              <w:rPr>
                <w:b w:val="0"/>
                <w:color w:val="auto"/>
              </w:rPr>
              <w:t>.</w:t>
            </w:r>
          </w:p>
        </w:tc>
        <w:tc>
          <w:tcPr>
            <w:tcW w:w="992" w:type="dxa"/>
            <w:vAlign w:val="center"/>
          </w:tcPr>
          <w:p w14:paraId="119C73ED"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+7,0</w:t>
            </w:r>
          </w:p>
        </w:tc>
        <w:tc>
          <w:tcPr>
            <w:tcW w:w="992" w:type="dxa"/>
            <w:vAlign w:val="center"/>
          </w:tcPr>
          <w:p w14:paraId="3A180F0F"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+6,0</w:t>
            </w:r>
          </w:p>
        </w:tc>
        <w:tc>
          <w:tcPr>
            <w:tcW w:w="1056" w:type="dxa"/>
            <w:vAlign w:val="center"/>
          </w:tcPr>
          <w:p w14:paraId="4806829F"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+5,1</w:t>
            </w:r>
          </w:p>
        </w:tc>
      </w:tr>
      <w:tr w:rsidR="00E055A8" w:rsidRPr="00E055A8" w14:paraId="5B70078C" w14:textId="77777777" w:rsidTr="0080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2" w:type="dxa"/>
          </w:tcPr>
          <w:p w14:paraId="4445F914" w14:textId="77777777" w:rsidR="000144E7" w:rsidRPr="00E055A8" w:rsidRDefault="000144E7" w:rsidP="00E773FD">
            <w:pPr>
              <w:pStyle w:val="tabteksts"/>
              <w:rPr>
                <w:b w:val="0"/>
                <w:color w:val="auto"/>
              </w:rPr>
            </w:pPr>
            <w:r w:rsidRPr="00E055A8">
              <w:rPr>
                <w:b w:val="0"/>
                <w:color w:val="auto"/>
              </w:rPr>
              <w:t xml:space="preserve">Mēneša minimālās algas paaugstināšana no 320 </w:t>
            </w:r>
            <w:r w:rsidRPr="00E055A8">
              <w:rPr>
                <w:b w:val="0"/>
                <w:i/>
                <w:color w:val="auto"/>
                <w:szCs w:val="24"/>
              </w:rPr>
              <w:t>euro</w:t>
            </w:r>
            <w:r w:rsidRPr="00E055A8">
              <w:rPr>
                <w:b w:val="0"/>
                <w:color w:val="auto"/>
              </w:rPr>
              <w:t xml:space="preserve"> līdz 360 </w:t>
            </w:r>
            <w:r w:rsidRPr="00E055A8">
              <w:rPr>
                <w:b w:val="0"/>
                <w:i/>
                <w:color w:val="auto"/>
                <w:szCs w:val="24"/>
              </w:rPr>
              <w:t>euro</w:t>
            </w:r>
          </w:p>
        </w:tc>
        <w:tc>
          <w:tcPr>
            <w:tcW w:w="992" w:type="dxa"/>
            <w:vAlign w:val="center"/>
          </w:tcPr>
          <w:p w14:paraId="4B715EE3"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r w:rsidRPr="00E055A8">
              <w:rPr>
                <w:color w:val="auto"/>
              </w:rPr>
              <w:t>+12,4</w:t>
            </w:r>
          </w:p>
        </w:tc>
        <w:tc>
          <w:tcPr>
            <w:tcW w:w="992" w:type="dxa"/>
            <w:vAlign w:val="center"/>
          </w:tcPr>
          <w:p w14:paraId="57521683"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rPr>
            </w:pPr>
          </w:p>
        </w:tc>
        <w:tc>
          <w:tcPr>
            <w:tcW w:w="1056" w:type="dxa"/>
            <w:vAlign w:val="center"/>
          </w:tcPr>
          <w:p w14:paraId="03367696"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color w:val="auto"/>
                <w:highlight w:val="yellow"/>
              </w:rPr>
            </w:pPr>
          </w:p>
        </w:tc>
      </w:tr>
      <w:tr w:rsidR="00E055A8" w:rsidRPr="00E055A8" w14:paraId="1AAA5643" w14:textId="77777777" w:rsidTr="008055B0">
        <w:trPr>
          <w:jc w:val="center"/>
        </w:trPr>
        <w:tc>
          <w:tcPr>
            <w:cnfStyle w:val="001000000000" w:firstRow="0" w:lastRow="0" w:firstColumn="1" w:lastColumn="0" w:oddVBand="0" w:evenVBand="0" w:oddHBand="0" w:evenHBand="0" w:firstRowFirstColumn="0" w:firstRowLastColumn="0" w:lastRowFirstColumn="0" w:lastRowLastColumn="0"/>
            <w:tcW w:w="6122" w:type="dxa"/>
          </w:tcPr>
          <w:p w14:paraId="73DE6265" w14:textId="77777777" w:rsidR="000144E7" w:rsidRPr="00E055A8" w:rsidRDefault="000144E7" w:rsidP="00E773FD">
            <w:pPr>
              <w:pStyle w:val="tabteksts"/>
              <w:rPr>
                <w:b w:val="0"/>
                <w:color w:val="auto"/>
                <w:highlight w:val="yellow"/>
              </w:rPr>
            </w:pPr>
            <w:r w:rsidRPr="00E055A8">
              <w:rPr>
                <w:b w:val="0"/>
                <w:color w:val="auto"/>
              </w:rPr>
              <w:t>Cīņa ar ēnu ekonomiku un citi pasākumi, lai uzlabotu nodokļu administrēšanu (t.sk., informācijas apmaiņas procesa uzlabošana starp finanšu iestādēm, Noziedzīgi iegūtu līdzekļu legalizācijas novēršanas dienestu un Valsts ieņēmumu dienestu u.c. pasākumi)</w:t>
            </w:r>
          </w:p>
        </w:tc>
        <w:tc>
          <w:tcPr>
            <w:tcW w:w="992" w:type="dxa"/>
            <w:vAlign w:val="center"/>
          </w:tcPr>
          <w:p w14:paraId="3571BA0C"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+4,1</w:t>
            </w:r>
          </w:p>
        </w:tc>
        <w:tc>
          <w:tcPr>
            <w:tcW w:w="992" w:type="dxa"/>
            <w:vAlign w:val="center"/>
          </w:tcPr>
          <w:p w14:paraId="66FB33DA"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rPr>
            </w:pPr>
            <w:r w:rsidRPr="00E055A8">
              <w:rPr>
                <w:color w:val="auto"/>
              </w:rPr>
              <w:t>+0,8</w:t>
            </w:r>
          </w:p>
        </w:tc>
        <w:tc>
          <w:tcPr>
            <w:tcW w:w="1056" w:type="dxa"/>
            <w:vAlign w:val="center"/>
          </w:tcPr>
          <w:p w14:paraId="4E0115B3" w14:textId="77777777" w:rsidR="000144E7" w:rsidRPr="00E055A8" w:rsidRDefault="000144E7" w:rsidP="00E055A8">
            <w:pPr>
              <w:pStyle w:val="tabteksts"/>
              <w:jc w:val="right"/>
              <w:cnfStyle w:val="000000000000" w:firstRow="0" w:lastRow="0" w:firstColumn="0" w:lastColumn="0" w:oddVBand="0" w:evenVBand="0" w:oddHBand="0" w:evenHBand="0" w:firstRowFirstColumn="0" w:firstRowLastColumn="0" w:lastRowFirstColumn="0" w:lastRowLastColumn="0"/>
              <w:rPr>
                <w:color w:val="auto"/>
                <w:highlight w:val="yellow"/>
              </w:rPr>
            </w:pPr>
          </w:p>
        </w:tc>
      </w:tr>
      <w:tr w:rsidR="00E055A8" w:rsidRPr="00E055A8" w14:paraId="15D65921" w14:textId="77777777" w:rsidTr="0080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2" w:type="dxa"/>
          </w:tcPr>
          <w:p w14:paraId="13BC00D7" w14:textId="77777777" w:rsidR="000144E7" w:rsidRPr="00E055A8" w:rsidRDefault="000144E7" w:rsidP="00E773FD">
            <w:pPr>
              <w:pStyle w:val="tabteksts"/>
              <w:jc w:val="both"/>
              <w:rPr>
                <w:b w:val="0"/>
                <w:color w:val="auto"/>
              </w:rPr>
            </w:pPr>
            <w:r w:rsidRPr="00E055A8">
              <w:rPr>
                <w:b w:val="0"/>
                <w:color w:val="auto"/>
              </w:rPr>
              <w:t>Izmaiņu ietekme kopā:</w:t>
            </w:r>
          </w:p>
        </w:tc>
        <w:tc>
          <w:tcPr>
            <w:tcW w:w="992" w:type="dxa"/>
            <w:vAlign w:val="center"/>
          </w:tcPr>
          <w:p w14:paraId="2E78E9EF"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b/>
                <w:color w:val="auto"/>
              </w:rPr>
            </w:pPr>
            <w:r w:rsidRPr="00E055A8">
              <w:rPr>
                <w:b/>
                <w:color w:val="auto"/>
              </w:rPr>
              <w:t>-78,8</w:t>
            </w:r>
          </w:p>
        </w:tc>
        <w:tc>
          <w:tcPr>
            <w:tcW w:w="992" w:type="dxa"/>
            <w:vAlign w:val="center"/>
          </w:tcPr>
          <w:p w14:paraId="6FB347A5"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b/>
                <w:color w:val="auto"/>
              </w:rPr>
            </w:pPr>
            <w:r w:rsidRPr="00E055A8">
              <w:rPr>
                <w:b/>
                <w:color w:val="auto"/>
              </w:rPr>
              <w:t>-63,6</w:t>
            </w:r>
          </w:p>
        </w:tc>
        <w:tc>
          <w:tcPr>
            <w:tcW w:w="1056" w:type="dxa"/>
            <w:vAlign w:val="center"/>
          </w:tcPr>
          <w:p w14:paraId="4BD06C44" w14:textId="77777777" w:rsidR="000144E7" w:rsidRPr="00E055A8" w:rsidRDefault="000144E7" w:rsidP="00E055A8">
            <w:pPr>
              <w:pStyle w:val="tabteksts"/>
              <w:jc w:val="right"/>
              <w:cnfStyle w:val="000000100000" w:firstRow="0" w:lastRow="0" w:firstColumn="0" w:lastColumn="0" w:oddVBand="0" w:evenVBand="0" w:oddHBand="1" w:evenHBand="0" w:firstRowFirstColumn="0" w:firstRowLastColumn="0" w:lastRowFirstColumn="0" w:lastRowLastColumn="0"/>
              <w:rPr>
                <w:b/>
                <w:color w:val="auto"/>
              </w:rPr>
            </w:pPr>
            <w:r w:rsidRPr="00E055A8">
              <w:rPr>
                <w:b/>
                <w:color w:val="auto"/>
              </w:rPr>
              <w:t>+5,1</w:t>
            </w:r>
          </w:p>
        </w:tc>
      </w:tr>
    </w:tbl>
    <w:p w14:paraId="5A1223E5" w14:textId="328586BF" w:rsidR="000144E7" w:rsidRPr="000144E7" w:rsidRDefault="000144E7" w:rsidP="00AE4549">
      <w:pPr>
        <w:spacing w:before="120" w:after="60" w:line="240" w:lineRule="auto"/>
        <w:ind w:firstLine="720"/>
        <w:jc w:val="both"/>
        <w:rPr>
          <w:rFonts w:ascii="Times New Roman" w:hAnsi="Times New Roman" w:cs="Times New Roman"/>
          <w:iCs/>
          <w:sz w:val="24"/>
        </w:rPr>
      </w:pPr>
      <w:r w:rsidRPr="000144E7">
        <w:rPr>
          <w:rFonts w:ascii="Times New Roman" w:hAnsi="Times New Roman" w:cs="Times New Roman"/>
          <w:iCs/>
          <w:sz w:val="24"/>
        </w:rPr>
        <w:t>Sociālās apdrošināšanas iemaksu apmēru valsts sp</w:t>
      </w:r>
      <w:r w:rsidR="00AE4549">
        <w:rPr>
          <w:rFonts w:ascii="Times New Roman" w:hAnsi="Times New Roman" w:cs="Times New Roman"/>
          <w:iCs/>
          <w:sz w:val="24"/>
        </w:rPr>
        <w:t>eciālajā budžetā ne tikai 2015.</w:t>
      </w:r>
      <w:r w:rsidRPr="000144E7">
        <w:rPr>
          <w:rFonts w:ascii="Times New Roman" w:hAnsi="Times New Roman" w:cs="Times New Roman"/>
          <w:iCs/>
          <w:sz w:val="24"/>
        </w:rPr>
        <w:t>gadā, bet arī vidējā termiņā, būtiski ietekmē iemaksu likme valsts fondēto pensiju shēmā,</w:t>
      </w:r>
      <w:r w:rsidR="00AE4549">
        <w:rPr>
          <w:rFonts w:ascii="Times New Roman" w:hAnsi="Times New Roman" w:cs="Times New Roman"/>
          <w:iCs/>
          <w:sz w:val="24"/>
        </w:rPr>
        <w:t xml:space="preserve"> kas 2015.</w:t>
      </w:r>
      <w:r w:rsidRPr="000144E7">
        <w:rPr>
          <w:rFonts w:ascii="Times New Roman" w:hAnsi="Times New Roman" w:cs="Times New Roman"/>
          <w:iCs/>
          <w:sz w:val="24"/>
        </w:rPr>
        <w:t>gadā ir paaugstināta</w:t>
      </w:r>
      <w:r w:rsidR="00AE4549">
        <w:rPr>
          <w:rFonts w:ascii="Times New Roman" w:hAnsi="Times New Roman" w:cs="Times New Roman"/>
          <w:iCs/>
          <w:sz w:val="24"/>
        </w:rPr>
        <w:t xml:space="preserve"> no 4 % līdz 5%, savukārt 2016.</w:t>
      </w:r>
      <w:r w:rsidRPr="000144E7">
        <w:rPr>
          <w:rFonts w:ascii="Times New Roman" w:hAnsi="Times New Roman" w:cs="Times New Roman"/>
          <w:iCs/>
          <w:sz w:val="24"/>
        </w:rPr>
        <w:t>gadā tā tiks paaugstināta līdz 6 procentiem.</w:t>
      </w:r>
    </w:p>
    <w:p w14:paraId="355676B1" w14:textId="77777777" w:rsidR="000144E7" w:rsidRPr="00142A2C" w:rsidRDefault="000144E7" w:rsidP="00142A2C">
      <w:pPr>
        <w:spacing w:before="320" w:after="120" w:line="240" w:lineRule="auto"/>
        <w:ind w:firstLine="709"/>
        <w:jc w:val="both"/>
        <w:rPr>
          <w:rFonts w:ascii="Times New Roman" w:hAnsi="Times New Roman" w:cs="Times New Roman"/>
          <w:b/>
          <w:sz w:val="24"/>
          <w:szCs w:val="24"/>
        </w:rPr>
      </w:pPr>
      <w:r w:rsidRPr="00142A2C">
        <w:rPr>
          <w:rFonts w:ascii="Times New Roman" w:hAnsi="Times New Roman" w:cs="Times New Roman"/>
          <w:b/>
          <w:sz w:val="24"/>
          <w:szCs w:val="24"/>
        </w:rPr>
        <w:t>Subsidētās elektroenerģijas nodoklis</w:t>
      </w:r>
    </w:p>
    <w:p w14:paraId="5114287C" w14:textId="5A54BE1A" w:rsidR="000144E7" w:rsidRPr="000144E7" w:rsidRDefault="000144E7" w:rsidP="00AE4549">
      <w:pPr>
        <w:spacing w:after="60" w:line="240" w:lineRule="auto"/>
        <w:ind w:firstLine="720"/>
        <w:jc w:val="both"/>
        <w:rPr>
          <w:rFonts w:ascii="Times New Roman" w:hAnsi="Times New Roman" w:cs="Times New Roman"/>
          <w:iCs/>
          <w:sz w:val="24"/>
        </w:rPr>
      </w:pPr>
      <w:r w:rsidRPr="000144E7">
        <w:rPr>
          <w:rFonts w:ascii="Times New Roman" w:hAnsi="Times New Roman" w:cs="Times New Roman"/>
          <w:iCs/>
          <w:sz w:val="24"/>
        </w:rPr>
        <w:t>Subsidētās elektroenerģijas nodokli piemēro apliekamajie</w:t>
      </w:r>
      <w:r w:rsidR="00AE4549">
        <w:rPr>
          <w:rFonts w:ascii="Times New Roman" w:hAnsi="Times New Roman" w:cs="Times New Roman"/>
          <w:iCs/>
          <w:sz w:val="24"/>
        </w:rPr>
        <w:t>m ienākumiem, kas gūti no 2014.gada 1.</w:t>
      </w:r>
      <w:r w:rsidRPr="000144E7">
        <w:rPr>
          <w:rFonts w:ascii="Times New Roman" w:hAnsi="Times New Roman" w:cs="Times New Roman"/>
          <w:iCs/>
          <w:sz w:val="24"/>
        </w:rPr>
        <w:t>janvāra līdz 2017.</w:t>
      </w:r>
      <w:r w:rsidR="00AE4549">
        <w:rPr>
          <w:rFonts w:ascii="Times New Roman" w:hAnsi="Times New Roman" w:cs="Times New Roman"/>
          <w:iCs/>
          <w:sz w:val="24"/>
        </w:rPr>
        <w:t>gada 31.</w:t>
      </w:r>
      <w:r w:rsidRPr="000144E7">
        <w:rPr>
          <w:rFonts w:ascii="Times New Roman" w:hAnsi="Times New Roman" w:cs="Times New Roman"/>
          <w:iCs/>
          <w:sz w:val="24"/>
        </w:rPr>
        <w:t xml:space="preserve">decembrim. Nodoklis </w:t>
      </w:r>
      <w:r w:rsidR="00AE4549">
        <w:rPr>
          <w:rFonts w:ascii="Times New Roman" w:hAnsi="Times New Roman" w:cs="Times New Roman"/>
          <w:iCs/>
          <w:sz w:val="24"/>
        </w:rPr>
        <w:t>ir ieviests uz laiku līdz 2017.</w:t>
      </w:r>
      <w:r w:rsidRPr="000144E7">
        <w:rPr>
          <w:rFonts w:ascii="Times New Roman" w:hAnsi="Times New Roman" w:cs="Times New Roman"/>
          <w:iCs/>
          <w:sz w:val="24"/>
        </w:rPr>
        <w:t>gada beigām, paredzot tā samazinājumu vai izbeigšanu, ja tiek faktiski panākts obligātā iepirkuma komponentes ietvaros izmaksājamo subsīdiju apjoma samazinājums.</w:t>
      </w:r>
    </w:p>
    <w:p w14:paraId="0D620221" w14:textId="11F948B1" w:rsidR="000144E7" w:rsidRPr="000144E7" w:rsidRDefault="000144E7" w:rsidP="00AE4549">
      <w:pPr>
        <w:spacing w:after="60" w:line="240" w:lineRule="auto"/>
        <w:ind w:firstLine="720"/>
        <w:jc w:val="both"/>
        <w:rPr>
          <w:rFonts w:ascii="Times New Roman" w:hAnsi="Times New Roman" w:cs="Times New Roman"/>
          <w:iCs/>
          <w:sz w:val="24"/>
        </w:rPr>
      </w:pPr>
      <w:r w:rsidRPr="000144E7">
        <w:rPr>
          <w:rFonts w:ascii="Times New Roman" w:hAnsi="Times New Roman" w:cs="Times New Roman"/>
          <w:iCs/>
          <w:sz w:val="24"/>
        </w:rPr>
        <w:t>Ar subsidētās elektroenerģijas nodokli apliekami ienākumi, kas saņemti no obligātā iepirkuma ietvaros pārdotās elektroenerģijas, no saņemtās garantētās maksas par koģenerācijas stacijā vai elektrostacijā uzstādīto elektrisko jaudu, kā arī no pārdotās elektroenerģijas, kas tiek pārdota publiskajam tirgotājam (licencētam elektroenerģijas pārvades vai sadales uzņēmumam) saskaņā ar Enerģētikas likuma 40. panta redakcijām, kas bija spēkā no 1</w:t>
      </w:r>
      <w:r w:rsidR="00AE4549">
        <w:rPr>
          <w:rFonts w:ascii="Times New Roman" w:hAnsi="Times New Roman" w:cs="Times New Roman"/>
          <w:iCs/>
          <w:sz w:val="24"/>
        </w:rPr>
        <w:t>998. gada 6. oktobra līdz 2005.gada 7.</w:t>
      </w:r>
      <w:r w:rsidRPr="000144E7">
        <w:rPr>
          <w:rFonts w:ascii="Times New Roman" w:hAnsi="Times New Roman" w:cs="Times New Roman"/>
          <w:iCs/>
          <w:sz w:val="24"/>
        </w:rPr>
        <w:t xml:space="preserve">jūnijam, un attiecīgo </w:t>
      </w:r>
      <w:r w:rsidR="00AE4549">
        <w:rPr>
          <w:rFonts w:ascii="Times New Roman" w:hAnsi="Times New Roman" w:cs="Times New Roman"/>
          <w:iCs/>
          <w:sz w:val="24"/>
        </w:rPr>
        <w:t>MK</w:t>
      </w:r>
      <w:r w:rsidRPr="000144E7">
        <w:rPr>
          <w:rFonts w:ascii="Times New Roman" w:hAnsi="Times New Roman" w:cs="Times New Roman"/>
          <w:iCs/>
          <w:sz w:val="24"/>
        </w:rPr>
        <w:t xml:space="preserve"> noteikto kārtību. </w:t>
      </w:r>
    </w:p>
    <w:p w14:paraId="03F860BE" w14:textId="77777777" w:rsidR="000144E7" w:rsidRPr="000144E7" w:rsidRDefault="000144E7" w:rsidP="00AE4549">
      <w:pPr>
        <w:spacing w:after="60" w:line="240" w:lineRule="auto"/>
        <w:ind w:firstLine="720"/>
        <w:jc w:val="both"/>
        <w:rPr>
          <w:rFonts w:ascii="Times New Roman" w:hAnsi="Times New Roman" w:cs="Times New Roman"/>
          <w:iCs/>
          <w:sz w:val="24"/>
        </w:rPr>
      </w:pPr>
      <w:r w:rsidRPr="000144E7">
        <w:rPr>
          <w:rFonts w:ascii="Times New Roman" w:hAnsi="Times New Roman" w:cs="Times New Roman"/>
          <w:iCs/>
          <w:sz w:val="24"/>
        </w:rPr>
        <w:t>Subsidētās elektroenerģijas nodoklis tika ieviests, lai ierobežot elektroenerģijas kopējās cenas pieaugumu, un tādejādi nodrošinātu tautsaimniecības konkurētspēju un nepalielinātu mājsaimniecību enerģētisko nabadzību, kā arī nodrošinātu valsts budžetu ar papildu ieņēmumiem, kas ļautu finansiāli nodrošināt elektroenerģijas lietotāju atbalsta pasākumu īstenošanu. Netieši subsidētās elektroenerģijas nodokļa mērķis ir veicināt konkurētspējīgu elektroenerģijas ražošanu no atjaunojamiem energoresursiem un efektīvā koģenerācijā, motivējot ražot enerģiju visefektīvākajā veidā un nodrošinot, ka turpmāk tirgū ienāk tikai konkurētspējīgas tehnoloģijas.</w:t>
      </w:r>
    </w:p>
    <w:p w14:paraId="6AA407B4" w14:textId="77777777" w:rsidR="000144E7" w:rsidRPr="000144E7" w:rsidRDefault="000144E7" w:rsidP="00AE4549">
      <w:pPr>
        <w:spacing w:after="60" w:line="240" w:lineRule="auto"/>
        <w:ind w:firstLine="720"/>
        <w:jc w:val="both"/>
        <w:rPr>
          <w:rFonts w:ascii="Times New Roman" w:hAnsi="Times New Roman" w:cs="Times New Roman"/>
          <w:iCs/>
          <w:sz w:val="24"/>
        </w:rPr>
      </w:pPr>
      <w:r w:rsidRPr="000144E7">
        <w:rPr>
          <w:rFonts w:ascii="Times New Roman" w:hAnsi="Times New Roman" w:cs="Times New Roman"/>
          <w:iCs/>
          <w:sz w:val="24"/>
        </w:rPr>
        <w:t>Subsidētās elektroenerģijas nodoklim ir noteiktas trīs diferencētas likmes – 15% dabasgāzes stacijām, 10% atjaunojamo energoresursu stacijām un 5% stacijām, kas nodrošina ar siltumenerģiju centralizētās sistēmas un kuru subsidētās elektroenerģijas nodokļa likmei ir tieša ietekme uz siltumenerģijas gala tarifu lietotājiem.</w:t>
      </w:r>
    </w:p>
    <w:p w14:paraId="5F57D61C" w14:textId="77777777" w:rsidR="00142A2C" w:rsidRDefault="00142A2C" w:rsidP="000144E7">
      <w:pPr>
        <w:pStyle w:val="T"/>
        <w:spacing w:after="0"/>
        <w:ind w:left="0"/>
        <w:jc w:val="right"/>
        <w:rPr>
          <w:rFonts w:ascii="Times New Roman" w:hAnsi="Times New Roman"/>
        </w:rPr>
      </w:pPr>
    </w:p>
    <w:p w14:paraId="6FC2645E" w14:textId="2BA2459F" w:rsidR="000144E7" w:rsidRPr="00B4428A" w:rsidRDefault="00C81719" w:rsidP="00142A2C">
      <w:pPr>
        <w:pStyle w:val="T"/>
        <w:ind w:left="0"/>
        <w:jc w:val="right"/>
        <w:rPr>
          <w:rFonts w:ascii="Times New Roman" w:hAnsi="Times New Roman"/>
        </w:rPr>
      </w:pPr>
      <w:r>
        <w:rPr>
          <w:rFonts w:ascii="Times New Roman" w:hAnsi="Times New Roman"/>
        </w:rPr>
        <w:t>6.</w:t>
      </w:r>
      <w:r w:rsidR="00741A3B">
        <w:rPr>
          <w:rFonts w:ascii="Times New Roman" w:hAnsi="Times New Roman"/>
        </w:rPr>
        <w:t>7</w:t>
      </w:r>
      <w:r>
        <w:rPr>
          <w:rFonts w:ascii="Times New Roman" w:hAnsi="Times New Roman"/>
        </w:rPr>
        <w:t>.</w:t>
      </w:r>
      <w:r w:rsidR="000144E7" w:rsidRPr="00B4428A">
        <w:rPr>
          <w:rFonts w:ascii="Times New Roman" w:hAnsi="Times New Roman"/>
        </w:rPr>
        <w:t>tabula. Nodokļu politikas būtiskāko izmaiņu ietekme uz subsidētās elektroenerģijas nodokļa ieņēmumiem, milj. </w:t>
      </w:r>
      <w:r w:rsidR="000144E7" w:rsidRPr="00B4428A">
        <w:rPr>
          <w:rFonts w:ascii="Times New Roman" w:hAnsi="Times New Roman"/>
          <w:i/>
          <w:szCs w:val="24"/>
        </w:rPr>
        <w:t>euro</w:t>
      </w:r>
      <w:r w:rsidR="000144E7" w:rsidRPr="00B4428A">
        <w:rPr>
          <w:rFonts w:ascii="Times New Roman" w:hAnsi="Times New Roman"/>
        </w:rPr>
        <w:t xml:space="preserve"> </w:t>
      </w:r>
    </w:p>
    <w:tbl>
      <w:tblPr>
        <w:tblStyle w:val="GridTable6ColorfulAccent1"/>
        <w:tblW w:w="7287" w:type="dxa"/>
        <w:jc w:val="center"/>
        <w:tblLayout w:type="fixed"/>
        <w:tblLook w:val="04A0" w:firstRow="1" w:lastRow="0" w:firstColumn="1" w:lastColumn="0" w:noHBand="0" w:noVBand="1"/>
      </w:tblPr>
      <w:tblGrid>
        <w:gridCol w:w="5339"/>
        <w:gridCol w:w="974"/>
        <w:gridCol w:w="974"/>
      </w:tblGrid>
      <w:tr w:rsidR="00E055A8" w:rsidRPr="00E055A8" w14:paraId="355578E7" w14:textId="77777777" w:rsidTr="00E055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39" w:type="dxa"/>
          </w:tcPr>
          <w:p w14:paraId="59142B95" w14:textId="77777777" w:rsidR="000144E7" w:rsidRPr="00E055A8" w:rsidRDefault="000144E7" w:rsidP="00E773FD">
            <w:pPr>
              <w:pStyle w:val="tabteksts"/>
              <w:rPr>
                <w:color w:val="auto"/>
              </w:rPr>
            </w:pPr>
          </w:p>
        </w:tc>
        <w:tc>
          <w:tcPr>
            <w:tcW w:w="974" w:type="dxa"/>
          </w:tcPr>
          <w:p w14:paraId="75D8CD7D"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2014</w:t>
            </w:r>
          </w:p>
        </w:tc>
        <w:tc>
          <w:tcPr>
            <w:tcW w:w="974" w:type="dxa"/>
          </w:tcPr>
          <w:p w14:paraId="195036DD" w14:textId="77777777" w:rsidR="000144E7" w:rsidRPr="00E055A8" w:rsidRDefault="000144E7" w:rsidP="00E773FD">
            <w:pPr>
              <w:pStyle w:val="tabteksts"/>
              <w:tabs>
                <w:tab w:val="decimal" w:pos="-12114"/>
              </w:tabs>
              <w:jc w:val="center"/>
              <w:cnfStyle w:val="100000000000" w:firstRow="1" w:lastRow="0" w:firstColumn="0" w:lastColumn="0" w:oddVBand="0" w:evenVBand="0" w:oddHBand="0" w:evenHBand="0" w:firstRowFirstColumn="0" w:firstRowLastColumn="0" w:lastRowFirstColumn="0" w:lastRowLastColumn="0"/>
              <w:rPr>
                <w:color w:val="auto"/>
              </w:rPr>
            </w:pPr>
            <w:r w:rsidRPr="00E055A8">
              <w:rPr>
                <w:color w:val="auto"/>
              </w:rPr>
              <w:t>2018</w:t>
            </w:r>
          </w:p>
        </w:tc>
      </w:tr>
      <w:tr w:rsidR="00E055A8" w:rsidRPr="00E055A8" w14:paraId="5592A4EA"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39" w:type="dxa"/>
          </w:tcPr>
          <w:p w14:paraId="2B0C0DBC" w14:textId="77777777" w:rsidR="000144E7" w:rsidRPr="00E055A8" w:rsidRDefault="000144E7" w:rsidP="00E773FD">
            <w:pPr>
              <w:pStyle w:val="tabteksts"/>
              <w:rPr>
                <w:b w:val="0"/>
                <w:color w:val="auto"/>
              </w:rPr>
            </w:pPr>
            <w:r w:rsidRPr="00E055A8">
              <w:rPr>
                <w:b w:val="0"/>
                <w:color w:val="auto"/>
              </w:rPr>
              <w:t>Subsidētā elektroenerģijas nodokļa ieviešana</w:t>
            </w:r>
          </w:p>
        </w:tc>
        <w:tc>
          <w:tcPr>
            <w:tcW w:w="974" w:type="dxa"/>
          </w:tcPr>
          <w:p w14:paraId="0877BAA5" w14:textId="77777777" w:rsidR="000144E7" w:rsidRPr="00E055A8" w:rsidRDefault="000144E7" w:rsidP="00E773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sidRPr="00E055A8">
              <w:rPr>
                <w:rFonts w:ascii="Times New Roman" w:hAnsi="Times New Roman" w:cs="Times New Roman"/>
                <w:bCs/>
                <w:color w:val="auto"/>
                <w:sz w:val="20"/>
                <w:szCs w:val="20"/>
              </w:rPr>
              <w:t>+32,8</w:t>
            </w:r>
          </w:p>
        </w:tc>
        <w:tc>
          <w:tcPr>
            <w:tcW w:w="974" w:type="dxa"/>
          </w:tcPr>
          <w:p w14:paraId="743FFB25" w14:textId="77777777" w:rsidR="000144E7" w:rsidRPr="00E055A8" w:rsidRDefault="000144E7" w:rsidP="00E773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sidRPr="00E055A8">
              <w:rPr>
                <w:rFonts w:ascii="Times New Roman" w:hAnsi="Times New Roman" w:cs="Times New Roman"/>
                <w:bCs/>
                <w:color w:val="auto"/>
                <w:sz w:val="20"/>
                <w:szCs w:val="20"/>
              </w:rPr>
              <w:t>-32,8</w:t>
            </w:r>
          </w:p>
        </w:tc>
      </w:tr>
      <w:tr w:rsidR="00E055A8" w:rsidRPr="00E055A8" w14:paraId="266F699A"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5339" w:type="dxa"/>
          </w:tcPr>
          <w:p w14:paraId="75CD8331" w14:textId="77777777" w:rsidR="000144E7" w:rsidRPr="00E055A8" w:rsidRDefault="000144E7" w:rsidP="00E773FD">
            <w:pPr>
              <w:pStyle w:val="tabteksts"/>
              <w:jc w:val="both"/>
              <w:rPr>
                <w:b w:val="0"/>
                <w:color w:val="auto"/>
              </w:rPr>
            </w:pPr>
            <w:r w:rsidRPr="00E055A8">
              <w:rPr>
                <w:b w:val="0"/>
                <w:color w:val="auto"/>
              </w:rPr>
              <w:t>Izmaiņu ietekme kopā:</w:t>
            </w:r>
          </w:p>
        </w:tc>
        <w:tc>
          <w:tcPr>
            <w:tcW w:w="974" w:type="dxa"/>
          </w:tcPr>
          <w:p w14:paraId="682ED500" w14:textId="77777777" w:rsidR="000144E7" w:rsidRPr="00E055A8" w:rsidRDefault="000144E7" w:rsidP="00E773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0"/>
                <w:szCs w:val="20"/>
              </w:rPr>
            </w:pPr>
            <w:r w:rsidRPr="00E055A8">
              <w:rPr>
                <w:rFonts w:ascii="Times New Roman" w:hAnsi="Times New Roman" w:cs="Times New Roman"/>
                <w:b/>
                <w:bCs/>
                <w:color w:val="auto"/>
                <w:sz w:val="20"/>
                <w:szCs w:val="20"/>
              </w:rPr>
              <w:t>+32,8</w:t>
            </w:r>
          </w:p>
        </w:tc>
        <w:tc>
          <w:tcPr>
            <w:tcW w:w="974" w:type="dxa"/>
          </w:tcPr>
          <w:p w14:paraId="67AE57E9" w14:textId="77777777" w:rsidR="000144E7" w:rsidRPr="00E055A8" w:rsidRDefault="000144E7" w:rsidP="00E773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0"/>
                <w:szCs w:val="20"/>
              </w:rPr>
            </w:pPr>
            <w:r w:rsidRPr="00E055A8">
              <w:rPr>
                <w:rFonts w:ascii="Times New Roman" w:hAnsi="Times New Roman" w:cs="Times New Roman"/>
                <w:b/>
                <w:bCs/>
                <w:color w:val="auto"/>
                <w:sz w:val="20"/>
                <w:szCs w:val="20"/>
              </w:rPr>
              <w:t>-32,8</w:t>
            </w:r>
          </w:p>
        </w:tc>
      </w:tr>
    </w:tbl>
    <w:p w14:paraId="1B32F843" w14:textId="77777777" w:rsidR="000144E7" w:rsidRDefault="000144E7" w:rsidP="000144E7">
      <w:pPr>
        <w:pStyle w:val="T"/>
        <w:spacing w:after="0"/>
        <w:ind w:left="0"/>
        <w:rPr>
          <w:rFonts w:ascii="Times New Roman" w:hAnsi="Times New Roman"/>
          <w:highlight w:val="yellow"/>
        </w:rPr>
      </w:pPr>
    </w:p>
    <w:p w14:paraId="0D6AE87A" w14:textId="77777777" w:rsidR="005536A9" w:rsidRPr="00F51615" w:rsidRDefault="005536A9">
      <w:pPr>
        <w:rPr>
          <w:rFonts w:ascii="Times New Roman" w:eastAsiaTheme="majorEastAsia" w:hAnsi="Times New Roman" w:cs="Times New Roman"/>
          <w:b/>
          <w:bCs/>
          <w:smallCaps/>
          <w:color w:val="000000" w:themeColor="text1"/>
          <w:sz w:val="32"/>
          <w:szCs w:val="36"/>
        </w:rPr>
      </w:pPr>
      <w:r w:rsidRPr="00F51615">
        <w:rPr>
          <w:rFonts w:ascii="Times New Roman" w:hAnsi="Times New Roman" w:cs="Times New Roman"/>
          <w:sz w:val="32"/>
        </w:rPr>
        <w:br w:type="page"/>
      </w:r>
    </w:p>
    <w:p w14:paraId="59654465" w14:textId="77777777" w:rsidR="005536A9" w:rsidRPr="00F51615" w:rsidRDefault="005536A9" w:rsidP="00F512CA">
      <w:pPr>
        <w:pStyle w:val="Heading1"/>
        <w:numPr>
          <w:ilvl w:val="0"/>
          <w:numId w:val="1"/>
        </w:numPr>
        <w:ind w:left="284" w:hanging="283"/>
        <w:jc w:val="center"/>
        <w:rPr>
          <w:rFonts w:ascii="Times New Roman" w:hAnsi="Times New Roman" w:cs="Times New Roman"/>
          <w:sz w:val="32"/>
        </w:rPr>
      </w:pPr>
      <w:bookmarkStart w:id="18" w:name="_Toc416279079"/>
      <w:r w:rsidRPr="00F51615">
        <w:rPr>
          <w:rFonts w:ascii="Times New Roman" w:hAnsi="Times New Roman" w:cs="Times New Roman"/>
          <w:sz w:val="32"/>
        </w:rPr>
        <w:t>Publisko finanšu ilgtspēja</w:t>
      </w:r>
      <w:bookmarkEnd w:id="18"/>
    </w:p>
    <w:p w14:paraId="4CCBB32C" w14:textId="53F4A9A0" w:rsidR="00E773FD" w:rsidRPr="00AE4549" w:rsidRDefault="00A34463" w:rsidP="001F01DA">
      <w:pPr>
        <w:pStyle w:val="Heading2"/>
        <w:numPr>
          <w:ilvl w:val="1"/>
          <w:numId w:val="1"/>
        </w:numPr>
        <w:spacing w:before="240" w:after="120"/>
        <w:ind w:left="709"/>
        <w:rPr>
          <w:rFonts w:ascii="Times New Roman" w:hAnsi="Times New Roman" w:cs="Times New Roman"/>
          <w:sz w:val="24"/>
        </w:rPr>
      </w:pPr>
      <w:bookmarkStart w:id="19" w:name="_Toc416279080"/>
      <w:r w:rsidRPr="00F51615">
        <w:rPr>
          <w:rFonts w:ascii="Times New Roman" w:hAnsi="Times New Roman" w:cs="Times New Roman"/>
          <w:sz w:val="24"/>
        </w:rPr>
        <w:t>Publisko finanšu ilgtermiņa attīstības scenārijs</w:t>
      </w:r>
      <w:bookmarkEnd w:id="19"/>
    </w:p>
    <w:p w14:paraId="3DA57035" w14:textId="77777777" w:rsidR="00E773FD" w:rsidRPr="00E773FD" w:rsidRDefault="00E773FD" w:rsidP="00AE4549">
      <w:pPr>
        <w:spacing w:after="60" w:line="240" w:lineRule="auto"/>
        <w:ind w:firstLine="720"/>
        <w:jc w:val="both"/>
        <w:rPr>
          <w:rFonts w:ascii="Times New Roman" w:hAnsi="Times New Roman" w:cs="Times New Roman"/>
          <w:sz w:val="24"/>
          <w:szCs w:val="24"/>
        </w:rPr>
      </w:pPr>
      <w:r w:rsidRPr="00E773FD">
        <w:rPr>
          <w:rFonts w:ascii="Times New Roman" w:hAnsi="Times New Roman" w:cs="Times New Roman"/>
          <w:sz w:val="24"/>
          <w:szCs w:val="24"/>
        </w:rPr>
        <w:t>Valsts finanšu ilgtspējai ir būtiska loma tautsaimniecības izaugsmē. Ilgtspēju ietekmē ne tikai budžeta sākotnējā pozīcija, bet arvien aktuālāks Eiropā kļūst jautājums par demogrāfisku izmaiņu ietekmi uz budžetu, sevišķi saistībā ar sabiedrības novecošanos. Tā var būtiski ietekmēt budžeta izdevumus, veicinot to pieaugumu ilgtermiņā.</w:t>
      </w:r>
    </w:p>
    <w:p w14:paraId="0ECE7733" w14:textId="0F0FA945" w:rsidR="00E773FD" w:rsidRPr="00E773FD" w:rsidRDefault="00E773FD" w:rsidP="00AE4549">
      <w:pPr>
        <w:spacing w:after="60" w:line="240" w:lineRule="auto"/>
        <w:ind w:firstLine="720"/>
        <w:jc w:val="both"/>
        <w:rPr>
          <w:rFonts w:ascii="Times New Roman" w:hAnsi="Times New Roman" w:cs="Times New Roman"/>
          <w:sz w:val="24"/>
          <w:szCs w:val="24"/>
        </w:rPr>
      </w:pPr>
      <w:r w:rsidRPr="00E773FD">
        <w:rPr>
          <w:rFonts w:ascii="Times New Roman" w:hAnsi="Times New Roman" w:cs="Times New Roman"/>
          <w:sz w:val="24"/>
          <w:szCs w:val="24"/>
        </w:rPr>
        <w:t xml:space="preserve">Saskaņā ar </w:t>
      </w:r>
      <w:r w:rsidR="009267FC">
        <w:rPr>
          <w:rFonts w:ascii="Times New Roman" w:hAnsi="Times New Roman" w:cs="Times New Roman"/>
          <w:sz w:val="24"/>
          <w:szCs w:val="24"/>
        </w:rPr>
        <w:t>EK</w:t>
      </w:r>
      <w:r w:rsidRPr="00E773FD">
        <w:rPr>
          <w:rFonts w:ascii="Times New Roman" w:hAnsi="Times New Roman" w:cs="Times New Roman"/>
          <w:sz w:val="24"/>
          <w:szCs w:val="24"/>
        </w:rPr>
        <w:t xml:space="preserve"> 2012.gada Fiskālās ilgtspējas ziņojumu (</w:t>
      </w:r>
      <w:r w:rsidRPr="00E773FD">
        <w:rPr>
          <w:rFonts w:ascii="Times New Roman" w:hAnsi="Times New Roman" w:cs="Times New Roman"/>
          <w:i/>
          <w:noProof/>
          <w:sz w:val="24"/>
          <w:szCs w:val="24"/>
        </w:rPr>
        <w:t>Fiscal Sustainability Report</w:t>
      </w:r>
      <w:r w:rsidRPr="00E773FD">
        <w:rPr>
          <w:rFonts w:ascii="Times New Roman" w:hAnsi="Times New Roman" w:cs="Times New Roman"/>
          <w:sz w:val="24"/>
          <w:szCs w:val="24"/>
        </w:rPr>
        <w:t>) Latvija ir novērtēta kā valsts ar zemu risku attiecībā uz publisko finanšu ilgtspēju. Lai ierobežotu sabiedrības novecošanās negatīvo ietekmi uz publiskajām finansēm ilgtermiņā, 2012.gadā tika veikta būtiska reforma Latvijas pensiju sistēmā, nosakot pakāpenisku pensionēšanās vecuma paaugstināšanu līdz 65 gadu vecumam 2025.gadā.</w:t>
      </w:r>
    </w:p>
    <w:p w14:paraId="21BFA01E" w14:textId="7B00B0E2" w:rsidR="00E773FD" w:rsidRPr="00E773FD" w:rsidRDefault="009267FC" w:rsidP="00AE4549">
      <w:pPr>
        <w:spacing w:after="60" w:line="240" w:lineRule="auto"/>
        <w:ind w:firstLine="720"/>
        <w:jc w:val="both"/>
        <w:rPr>
          <w:rFonts w:ascii="Times New Roman" w:hAnsi="Times New Roman" w:cs="Times New Roman"/>
          <w:noProof/>
          <w:sz w:val="24"/>
          <w:szCs w:val="24"/>
        </w:rPr>
      </w:pPr>
      <w:r>
        <w:rPr>
          <w:rFonts w:ascii="Times New Roman" w:hAnsi="Times New Roman" w:cs="Times New Roman"/>
          <w:sz w:val="24"/>
          <w:szCs w:val="24"/>
        </w:rPr>
        <w:t>EK</w:t>
      </w:r>
      <w:r w:rsidR="00E773FD" w:rsidRPr="00E773FD">
        <w:rPr>
          <w:rFonts w:ascii="Times New Roman" w:hAnsi="Times New Roman" w:cs="Times New Roman"/>
          <w:sz w:val="24"/>
          <w:szCs w:val="24"/>
        </w:rPr>
        <w:t xml:space="preserve"> sadarbībā ar dalībvalstīm </w:t>
      </w:r>
      <w:r w:rsidR="001F01DA">
        <w:rPr>
          <w:rFonts w:ascii="Times New Roman" w:hAnsi="Times New Roman" w:cs="Times New Roman"/>
          <w:sz w:val="24"/>
          <w:szCs w:val="24"/>
        </w:rPr>
        <w:t>AWG</w:t>
      </w:r>
      <w:r w:rsidR="00E773FD" w:rsidRPr="00E773FD">
        <w:rPr>
          <w:rFonts w:ascii="Times New Roman" w:hAnsi="Times New Roman" w:cs="Times New Roman"/>
          <w:sz w:val="24"/>
          <w:szCs w:val="24"/>
        </w:rPr>
        <w:t xml:space="preserve"> vienu reizi trijos gados izstrādā ar sabiedrības novecošanos saistīto vispārējās valdības budžeta izdevumu ilgtermiņa prognozes, kā arī novērtē publisko finanšu ilgtspēju katrai dalībvalstij. Ilgtermiņa prognožu pamatā ir demogrāfiskās prognozes, ko sniedz </w:t>
      </w:r>
      <w:r w:rsidR="00E773FD" w:rsidRPr="00E773FD">
        <w:rPr>
          <w:rFonts w:ascii="Times New Roman" w:hAnsi="Times New Roman" w:cs="Times New Roman"/>
          <w:i/>
          <w:noProof/>
          <w:sz w:val="24"/>
          <w:szCs w:val="24"/>
        </w:rPr>
        <w:t>Eurostat</w:t>
      </w:r>
      <w:r w:rsidR="00E773FD" w:rsidRPr="00E773FD">
        <w:rPr>
          <w:rFonts w:ascii="Times New Roman" w:hAnsi="Times New Roman" w:cs="Times New Roman"/>
          <w:noProof/>
          <w:sz w:val="24"/>
          <w:szCs w:val="24"/>
        </w:rPr>
        <w:t xml:space="preserve">, un pieņēmumi par ekonomisko izaugsmi un tās noteicošajiem faktoriem ilgtermiņā. Aktualizētās ilgtermiņa ar sabiedrības novecošanos saistīto izdevumu prognozes visām dalībvalsīm tiks iekļautas </w:t>
      </w:r>
      <w:r w:rsidR="004903E4">
        <w:rPr>
          <w:rFonts w:ascii="Times New Roman" w:hAnsi="Times New Roman" w:cs="Times New Roman"/>
          <w:noProof/>
          <w:sz w:val="24"/>
          <w:szCs w:val="24"/>
        </w:rPr>
        <w:t>EK</w:t>
      </w:r>
      <w:r w:rsidR="00E773FD" w:rsidRPr="00E773FD">
        <w:rPr>
          <w:rFonts w:ascii="Times New Roman" w:hAnsi="Times New Roman" w:cs="Times New Roman"/>
          <w:noProof/>
          <w:sz w:val="24"/>
          <w:szCs w:val="24"/>
        </w:rPr>
        <w:t xml:space="preserve"> 2015.gada Novecošanās ziņojumā (</w:t>
      </w:r>
      <w:r w:rsidR="00E773FD" w:rsidRPr="00E773FD">
        <w:rPr>
          <w:rFonts w:ascii="Times New Roman" w:hAnsi="Times New Roman" w:cs="Times New Roman"/>
          <w:i/>
          <w:noProof/>
          <w:sz w:val="24"/>
          <w:szCs w:val="24"/>
        </w:rPr>
        <w:t>Ageing Report</w:t>
      </w:r>
      <w:r w:rsidR="00E773FD" w:rsidRPr="00E773FD">
        <w:rPr>
          <w:rFonts w:ascii="Times New Roman" w:hAnsi="Times New Roman" w:cs="Times New Roman"/>
          <w:noProof/>
          <w:sz w:val="24"/>
          <w:szCs w:val="24"/>
        </w:rPr>
        <w:t xml:space="preserve">), kas tiks apstiprināts un publicēts 2015.gada maijā. Savukārt, aktualizēto Fiskālās ilgtspējas ziņojumu </w:t>
      </w:r>
      <w:r w:rsidR="004903E4">
        <w:rPr>
          <w:rFonts w:ascii="Times New Roman" w:hAnsi="Times New Roman" w:cs="Times New Roman"/>
          <w:noProof/>
          <w:sz w:val="24"/>
          <w:szCs w:val="24"/>
        </w:rPr>
        <w:t>EK</w:t>
      </w:r>
      <w:r w:rsidR="00E773FD" w:rsidRPr="00E773FD">
        <w:rPr>
          <w:rFonts w:ascii="Times New Roman" w:hAnsi="Times New Roman" w:cs="Times New Roman"/>
          <w:noProof/>
          <w:sz w:val="24"/>
          <w:szCs w:val="24"/>
        </w:rPr>
        <w:t xml:space="preserve"> plāno publicēt 2015.gada otrā pusē.</w:t>
      </w:r>
    </w:p>
    <w:p w14:paraId="4F6E6867" w14:textId="77777777" w:rsidR="00E773FD" w:rsidRPr="00E773FD" w:rsidRDefault="00E773FD" w:rsidP="00AE4549">
      <w:pPr>
        <w:spacing w:after="60" w:line="240" w:lineRule="auto"/>
        <w:ind w:firstLine="720"/>
        <w:jc w:val="both"/>
        <w:rPr>
          <w:rFonts w:ascii="Times New Roman" w:hAnsi="Times New Roman" w:cs="Times New Roman"/>
          <w:sz w:val="24"/>
          <w:szCs w:val="24"/>
        </w:rPr>
      </w:pPr>
      <w:r w:rsidRPr="00E773FD">
        <w:rPr>
          <w:rFonts w:ascii="Times New Roman" w:hAnsi="Times New Roman" w:cs="Times New Roman"/>
          <w:sz w:val="24"/>
          <w:szCs w:val="24"/>
        </w:rPr>
        <w:t xml:space="preserve">2014.gadā </w:t>
      </w:r>
      <w:r w:rsidRPr="00E773FD">
        <w:rPr>
          <w:rFonts w:ascii="Times New Roman" w:hAnsi="Times New Roman" w:cs="Times New Roman"/>
          <w:i/>
          <w:noProof/>
          <w:sz w:val="24"/>
          <w:szCs w:val="24"/>
        </w:rPr>
        <w:t>Eurostat</w:t>
      </w:r>
      <w:r w:rsidRPr="00E773FD">
        <w:rPr>
          <w:rFonts w:ascii="Times New Roman" w:hAnsi="Times New Roman" w:cs="Times New Roman"/>
          <w:sz w:val="24"/>
          <w:szCs w:val="24"/>
        </w:rPr>
        <w:t xml:space="preserve"> publicēja demogrāfiskās prognozes </w:t>
      </w:r>
      <w:r w:rsidRPr="00E773FD">
        <w:rPr>
          <w:rFonts w:ascii="Times New Roman" w:hAnsi="Times New Roman" w:cs="Times New Roman"/>
          <w:i/>
          <w:sz w:val="24"/>
          <w:szCs w:val="24"/>
        </w:rPr>
        <w:t>EUROPOP2013</w:t>
      </w:r>
      <w:r w:rsidRPr="00E773FD">
        <w:rPr>
          <w:rFonts w:ascii="Times New Roman" w:hAnsi="Times New Roman" w:cs="Times New Roman"/>
          <w:sz w:val="24"/>
          <w:szCs w:val="24"/>
        </w:rPr>
        <w:t xml:space="preserve"> un Latvijā līdz 2060.gadam tiek prognozēta iedzīvotāju skaita samazināšanās, neskatoties uz tendenci ES kopumā iedzīvotāju skaitam pieaugt. </w:t>
      </w:r>
      <w:r w:rsidRPr="00E773FD">
        <w:rPr>
          <w:rFonts w:ascii="Times New Roman" w:hAnsi="Times New Roman" w:cs="Times New Roman"/>
          <w:i/>
          <w:noProof/>
          <w:sz w:val="24"/>
          <w:szCs w:val="24"/>
        </w:rPr>
        <w:t>Eurostat</w:t>
      </w:r>
      <w:r w:rsidRPr="00E773FD">
        <w:rPr>
          <w:rFonts w:ascii="Times New Roman" w:hAnsi="Times New Roman" w:cs="Times New Roman"/>
          <w:sz w:val="24"/>
          <w:szCs w:val="24"/>
        </w:rPr>
        <w:t xml:space="preserve"> bāzes scenārijā prognozē, ka Latvijas iedzīvotāju kopējais skaits samazināsies no 2,0 miljoniem 2013.gadā līdz 1,4 miljoniem 2060.gadā. Tajā skaitā tiek prognozēts, ka darbspējas vecuma (15-64) iedzīvotāju skaits samazināsies par 42,0% jeb no 1,3 miljoniem 2013.gadā līdz 0,8 miljoniem iedzīvotāju 2060.gadā. Savukārt, iedzīvotāju skaits vecumā virs 65 gadiem 2060.gadā salīdzinājumā ar 2013.gadu palielināsies par 3,0% un kopumā būs 0,4 miljoni iedzīvotāju. </w:t>
      </w:r>
    </w:p>
    <w:p w14:paraId="59A81886" w14:textId="77777777" w:rsidR="00E773FD" w:rsidRPr="00E773FD" w:rsidRDefault="00E773FD" w:rsidP="00AE4549">
      <w:pPr>
        <w:spacing w:after="60" w:line="240" w:lineRule="auto"/>
        <w:ind w:firstLine="720"/>
        <w:jc w:val="both"/>
        <w:rPr>
          <w:rFonts w:ascii="Times New Roman" w:hAnsi="Times New Roman" w:cs="Times New Roman"/>
          <w:sz w:val="24"/>
          <w:szCs w:val="24"/>
        </w:rPr>
      </w:pPr>
      <w:r w:rsidRPr="00E773FD">
        <w:rPr>
          <w:rFonts w:ascii="Times New Roman" w:hAnsi="Times New Roman" w:cs="Times New Roman"/>
          <w:sz w:val="24"/>
          <w:szCs w:val="24"/>
        </w:rPr>
        <w:t xml:space="preserve">Saskaņā ar AWG makroekonomiskajiem pieņēmumiem tiek prognozēts, ka demogrāfisko izmaiņu ietekmē būs vērojamas izmaiņas nodarbinātības tendencēs. Paredzams, ka ilgtermiņā pieaugs gan līdzdalības līmenis darba tirgū, gan samazināsies bezdarbs. Tas daļēji ļaus kompensēt darbspējas vecuma iedzīvotāju skaita samazināšanās ietekmi uz nodarbinātību. Tiek prognozēts, ka produktivitāte ilgtermiņā būs noteicošais ekonomiskās izaugsmes faktors un tas būs konverģences pamats ilgtermiņā. </w:t>
      </w:r>
    </w:p>
    <w:p w14:paraId="20C1B61B" w14:textId="77777777" w:rsidR="00E773FD" w:rsidRPr="00E773FD" w:rsidRDefault="00E773FD" w:rsidP="00AE4549">
      <w:pPr>
        <w:spacing w:after="60" w:line="240" w:lineRule="auto"/>
        <w:ind w:firstLine="720"/>
        <w:jc w:val="both"/>
        <w:rPr>
          <w:rFonts w:ascii="Times New Roman" w:hAnsi="Times New Roman" w:cs="Times New Roman"/>
          <w:sz w:val="24"/>
          <w:szCs w:val="24"/>
        </w:rPr>
      </w:pPr>
      <w:r w:rsidRPr="00E773FD">
        <w:rPr>
          <w:rFonts w:ascii="Times New Roman" w:hAnsi="Times New Roman" w:cs="Times New Roman"/>
          <w:sz w:val="24"/>
          <w:szCs w:val="24"/>
        </w:rPr>
        <w:t>Tiek plānots, ka aktualizētās ilgtermiņa budžeta izdevumu prognozes tiks apstiprinātas un publicētas 2015.gada maijā un atbilstoši AWG bāzes scenārija projektam tiek prognozēts, ka Latvijā 2060.gadā salīdzinājumā ar 2013.gadu ar sabiedrības novecošanos saistīto izdevumu īpatsvars iekšzemes kopproduktā samazināsies no 16,2% no IKP līdz 14,4% no IKP. Samazinājumu pamatā noteiks pensiju izdevumu īpatsvara kritums iekšzemes kopproduktā.</w:t>
      </w:r>
    </w:p>
    <w:p w14:paraId="4273F317" w14:textId="77777777" w:rsidR="00E773FD" w:rsidRPr="00E773FD" w:rsidRDefault="00E773FD" w:rsidP="00AE4549">
      <w:pPr>
        <w:spacing w:after="60" w:line="240" w:lineRule="auto"/>
        <w:ind w:firstLine="720"/>
        <w:jc w:val="both"/>
        <w:rPr>
          <w:rFonts w:ascii="Times New Roman" w:hAnsi="Times New Roman" w:cs="Times New Roman"/>
          <w:sz w:val="24"/>
          <w:szCs w:val="24"/>
        </w:rPr>
      </w:pPr>
      <w:r w:rsidRPr="00E773FD">
        <w:rPr>
          <w:rFonts w:ascii="Times New Roman" w:hAnsi="Times New Roman" w:cs="Times New Roman"/>
          <w:sz w:val="24"/>
          <w:szCs w:val="24"/>
        </w:rPr>
        <w:t>Ilgtermiņa budžeta izdevumu bāzes scenārija projekts paredz, ka:</w:t>
      </w:r>
    </w:p>
    <w:p w14:paraId="7541858E" w14:textId="77777777" w:rsidR="00E773FD" w:rsidRPr="00AE4549" w:rsidRDefault="00E773FD" w:rsidP="008920E5">
      <w:pPr>
        <w:pStyle w:val="ListParagraph"/>
        <w:numPr>
          <w:ilvl w:val="0"/>
          <w:numId w:val="26"/>
        </w:numPr>
        <w:spacing w:after="60" w:line="240" w:lineRule="auto"/>
        <w:ind w:left="1134"/>
        <w:jc w:val="both"/>
        <w:rPr>
          <w:rFonts w:ascii="Times New Roman" w:hAnsi="Times New Roman" w:cs="Times New Roman"/>
          <w:sz w:val="24"/>
          <w:szCs w:val="24"/>
        </w:rPr>
      </w:pPr>
      <w:r w:rsidRPr="00AE4549">
        <w:rPr>
          <w:rFonts w:ascii="Times New Roman" w:hAnsi="Times New Roman" w:cs="Times New Roman"/>
          <w:sz w:val="24"/>
          <w:szCs w:val="24"/>
        </w:rPr>
        <w:t>Pensiju izdevumu īpatsvars IKP samazināsies no 7,7% no IKP 2013.gadā līdz 4,6% no IKP 2060.gadā;</w:t>
      </w:r>
    </w:p>
    <w:p w14:paraId="6DAD8E5F" w14:textId="77777777" w:rsidR="00E773FD" w:rsidRPr="00AE4549" w:rsidRDefault="00E773FD" w:rsidP="008920E5">
      <w:pPr>
        <w:pStyle w:val="ListParagraph"/>
        <w:numPr>
          <w:ilvl w:val="0"/>
          <w:numId w:val="26"/>
        </w:numPr>
        <w:spacing w:after="60" w:line="240" w:lineRule="auto"/>
        <w:ind w:left="1134"/>
        <w:jc w:val="both"/>
        <w:rPr>
          <w:rFonts w:ascii="Times New Roman" w:hAnsi="Times New Roman" w:cs="Times New Roman"/>
          <w:sz w:val="24"/>
          <w:szCs w:val="24"/>
        </w:rPr>
      </w:pPr>
      <w:r w:rsidRPr="00AE4549">
        <w:rPr>
          <w:rFonts w:ascii="Times New Roman" w:hAnsi="Times New Roman" w:cs="Times New Roman"/>
          <w:sz w:val="24"/>
          <w:szCs w:val="24"/>
        </w:rPr>
        <w:t>Veselības aprūpes izdevumu īpatsvars IKP palielināsies no 3,8% no IKP 2013.gadā līdz 4,4% no IKP 2060.gadā;</w:t>
      </w:r>
    </w:p>
    <w:p w14:paraId="363BC108" w14:textId="77777777" w:rsidR="00E773FD" w:rsidRPr="00AE4549" w:rsidRDefault="00E773FD" w:rsidP="008920E5">
      <w:pPr>
        <w:pStyle w:val="ListParagraph"/>
        <w:numPr>
          <w:ilvl w:val="0"/>
          <w:numId w:val="26"/>
        </w:numPr>
        <w:spacing w:after="60" w:line="240" w:lineRule="auto"/>
        <w:ind w:left="1134"/>
        <w:jc w:val="both"/>
        <w:rPr>
          <w:rFonts w:ascii="Times New Roman" w:hAnsi="Times New Roman" w:cs="Times New Roman"/>
          <w:sz w:val="24"/>
          <w:szCs w:val="24"/>
        </w:rPr>
      </w:pPr>
      <w:r w:rsidRPr="00AE4549">
        <w:rPr>
          <w:rFonts w:ascii="Times New Roman" w:hAnsi="Times New Roman" w:cs="Times New Roman"/>
          <w:sz w:val="24"/>
          <w:szCs w:val="24"/>
        </w:rPr>
        <w:t>Ilgstošās aprūpes izdevumu īpatsvars IKP palielināsies no 0,6% no IKP 2013.gadā līdz 0,8% no IKP 2060.gadā;</w:t>
      </w:r>
    </w:p>
    <w:p w14:paraId="2D6926C0" w14:textId="77777777" w:rsidR="00E773FD" w:rsidRPr="00AE4549" w:rsidRDefault="00E773FD" w:rsidP="008920E5">
      <w:pPr>
        <w:pStyle w:val="ListParagraph"/>
        <w:numPr>
          <w:ilvl w:val="0"/>
          <w:numId w:val="26"/>
        </w:numPr>
        <w:spacing w:after="60" w:line="240" w:lineRule="auto"/>
        <w:ind w:left="1134"/>
        <w:jc w:val="both"/>
        <w:rPr>
          <w:rFonts w:ascii="Times New Roman" w:hAnsi="Times New Roman" w:cs="Times New Roman"/>
          <w:sz w:val="24"/>
          <w:szCs w:val="24"/>
        </w:rPr>
      </w:pPr>
      <w:r w:rsidRPr="00AE4549">
        <w:rPr>
          <w:rFonts w:ascii="Times New Roman" w:hAnsi="Times New Roman" w:cs="Times New Roman"/>
          <w:sz w:val="24"/>
          <w:szCs w:val="24"/>
        </w:rPr>
        <w:t>Izglītības izdevumu īpatsvars IKP palielināsies no 3,8% no IKP 2013.gadā līdz 4,5% no IKP 2060.gadā;</w:t>
      </w:r>
    </w:p>
    <w:p w14:paraId="36005B3C" w14:textId="77777777" w:rsidR="00E773FD" w:rsidRPr="00AE4549" w:rsidRDefault="00E773FD" w:rsidP="008920E5">
      <w:pPr>
        <w:pStyle w:val="ListParagraph"/>
        <w:numPr>
          <w:ilvl w:val="0"/>
          <w:numId w:val="26"/>
        </w:numPr>
        <w:spacing w:after="60" w:line="240" w:lineRule="auto"/>
        <w:ind w:left="1134"/>
        <w:jc w:val="both"/>
        <w:rPr>
          <w:rFonts w:ascii="Times New Roman" w:hAnsi="Times New Roman" w:cs="Times New Roman"/>
          <w:sz w:val="24"/>
          <w:szCs w:val="24"/>
        </w:rPr>
      </w:pPr>
      <w:r w:rsidRPr="00AE4549">
        <w:rPr>
          <w:rFonts w:ascii="Times New Roman" w:hAnsi="Times New Roman" w:cs="Times New Roman"/>
          <w:sz w:val="24"/>
          <w:szCs w:val="24"/>
        </w:rPr>
        <w:t>Izdevumu bezdarbnieku pabalstiem īpatsvars IKP samazināsies no 0,3% no IKP 2013.gadā līdz 0,1% no IKP 2060.gadā.</w:t>
      </w:r>
    </w:p>
    <w:p w14:paraId="46B8CB36" w14:textId="77777777" w:rsidR="00E773FD" w:rsidRPr="00E773FD" w:rsidRDefault="00E773FD" w:rsidP="00AE4549">
      <w:pPr>
        <w:spacing w:after="60" w:line="240" w:lineRule="auto"/>
        <w:ind w:firstLine="720"/>
        <w:jc w:val="both"/>
        <w:rPr>
          <w:rFonts w:ascii="Times New Roman" w:hAnsi="Times New Roman" w:cs="Times New Roman"/>
          <w:sz w:val="24"/>
        </w:rPr>
      </w:pPr>
      <w:r w:rsidRPr="00E773FD">
        <w:rPr>
          <w:rFonts w:ascii="Times New Roman" w:hAnsi="Times New Roman" w:cs="Times New Roman"/>
          <w:sz w:val="24"/>
        </w:rPr>
        <w:t>Likumdošanas izmaiņas, kas ir ņemtas vērā, sagatavojot pensiju izdevumu ilgtermiņa prognozes, ir atbilstošas likumam „Par valsts pensijām”, kas paredz, ka:</w:t>
      </w:r>
    </w:p>
    <w:p w14:paraId="3A58BC38" w14:textId="77777777" w:rsidR="00E773FD" w:rsidRPr="00AE4549" w:rsidRDefault="00E773FD" w:rsidP="008920E5">
      <w:pPr>
        <w:pStyle w:val="ListParagraph"/>
        <w:numPr>
          <w:ilvl w:val="0"/>
          <w:numId w:val="25"/>
        </w:numPr>
        <w:autoSpaceDE w:val="0"/>
        <w:autoSpaceDN w:val="0"/>
        <w:adjustRightInd w:val="0"/>
        <w:spacing w:after="60" w:line="240" w:lineRule="auto"/>
        <w:ind w:left="1134"/>
        <w:jc w:val="both"/>
        <w:rPr>
          <w:rFonts w:ascii="Times New Roman" w:hAnsi="Times New Roman" w:cs="Times New Roman"/>
          <w:sz w:val="24"/>
        </w:rPr>
      </w:pPr>
      <w:r w:rsidRPr="00AE4549">
        <w:rPr>
          <w:rFonts w:ascii="Times New Roman" w:hAnsi="Times New Roman" w:cs="Times New Roman"/>
          <w:sz w:val="24"/>
        </w:rPr>
        <w:t>pakāpeniski par trīs mēnešiem katru gadu pieaugs pensionēšanās vecums, sasniedzot 65 gadus līdz 2025.gadam (62 gadi 6 mēneši 2015.gadā). Vienlaikus ir saglabāta iespēja pieprasīt vecuma pensiju priekšlaicīgi divus gadus pirms vispārējā pensionēšanās vecuma (60 gadi 6 mēneši 2015.gadā);</w:t>
      </w:r>
    </w:p>
    <w:p w14:paraId="793995DE" w14:textId="77777777" w:rsidR="00E773FD" w:rsidRPr="00AE4549" w:rsidRDefault="00E773FD" w:rsidP="008920E5">
      <w:pPr>
        <w:pStyle w:val="ListParagraph"/>
        <w:numPr>
          <w:ilvl w:val="0"/>
          <w:numId w:val="25"/>
        </w:numPr>
        <w:autoSpaceDE w:val="0"/>
        <w:autoSpaceDN w:val="0"/>
        <w:adjustRightInd w:val="0"/>
        <w:spacing w:after="60" w:line="240" w:lineRule="auto"/>
        <w:ind w:left="1134"/>
        <w:jc w:val="both"/>
        <w:rPr>
          <w:rFonts w:ascii="Times New Roman" w:hAnsi="Times New Roman" w:cs="Times New Roman"/>
          <w:sz w:val="24"/>
        </w:rPr>
      </w:pPr>
      <w:r w:rsidRPr="00AE4549">
        <w:rPr>
          <w:rFonts w:ascii="Times New Roman" w:hAnsi="Times New Roman" w:cs="Times New Roman"/>
          <w:sz w:val="24"/>
          <w:lang w:eastAsia="lv-LV"/>
        </w:rPr>
        <w:t xml:space="preserve">pieaug minimālais nepieciešamais apdrošināšanas stāžs, kas ļauj kvalificēties vecuma pensijas saņemšanai, no 10 uz 15 gadiem, un, sākot ar 2025.gadu, no 15 uz 20 gadiem. </w:t>
      </w:r>
      <w:r w:rsidRPr="00AE4549">
        <w:rPr>
          <w:rFonts w:ascii="Times New Roman" w:hAnsi="Times New Roman" w:cs="Times New Roman"/>
          <w:sz w:val="24"/>
        </w:rPr>
        <w:t xml:space="preserve">Palielinot nepieciešamo minimālo stāžu vecuma pensijas saņemšanai, tiek stimulēta valsts sociālās apdrošināšanas iemaksu veikšana; </w:t>
      </w:r>
    </w:p>
    <w:p w14:paraId="31376A93" w14:textId="77777777" w:rsidR="00E773FD" w:rsidRPr="00AE4549" w:rsidRDefault="00E773FD" w:rsidP="008920E5">
      <w:pPr>
        <w:pStyle w:val="ListParagraph"/>
        <w:numPr>
          <w:ilvl w:val="0"/>
          <w:numId w:val="25"/>
        </w:numPr>
        <w:autoSpaceDE w:val="0"/>
        <w:autoSpaceDN w:val="0"/>
        <w:adjustRightInd w:val="0"/>
        <w:spacing w:after="60" w:line="240" w:lineRule="auto"/>
        <w:ind w:left="1134"/>
        <w:jc w:val="both"/>
        <w:rPr>
          <w:rFonts w:ascii="Times New Roman" w:hAnsi="Times New Roman" w:cs="Times New Roman"/>
          <w:sz w:val="24"/>
        </w:rPr>
      </w:pPr>
      <w:r w:rsidRPr="00AE4549">
        <w:rPr>
          <w:rFonts w:ascii="Times New Roman" w:hAnsi="Times New Roman" w:cs="Times New Roman"/>
          <w:color w:val="000000" w:themeColor="text1"/>
          <w:sz w:val="24"/>
        </w:rPr>
        <w:t xml:space="preserve">kopš 2013.gada ir atjaunota piešķirto pensiju indeksācija, sākotnēji indeksējot mazās pensijas, bet jau ar 2014.gadu indeksējot pensijas vai tās daļas apmēru līdz 285 </w:t>
      </w:r>
      <w:r w:rsidRPr="00780B40">
        <w:rPr>
          <w:rFonts w:ascii="Times New Roman" w:hAnsi="Times New Roman" w:cs="Times New Roman"/>
          <w:i/>
          <w:noProof/>
          <w:color w:val="000000" w:themeColor="text1"/>
          <w:sz w:val="24"/>
        </w:rPr>
        <w:t>euro</w:t>
      </w:r>
      <w:r w:rsidRPr="00AE4549">
        <w:rPr>
          <w:rFonts w:ascii="Times New Roman" w:hAnsi="Times New Roman" w:cs="Times New Roman"/>
          <w:color w:val="000000" w:themeColor="text1"/>
          <w:sz w:val="24"/>
        </w:rPr>
        <w:t>, ņemot vērā faktisko patēriņa cenu indeksu un 25% no apdrošināšanas iemaksu algu summas reālā pieauguma procentiem.</w:t>
      </w:r>
      <w:r w:rsidRPr="00AE4549">
        <w:rPr>
          <w:rFonts w:ascii="Times New Roman" w:hAnsi="Times New Roman" w:cs="Times New Roman"/>
          <w:color w:val="000000"/>
          <w:sz w:val="24"/>
        </w:rPr>
        <w:t xml:space="preserve"> Sākot ar 2015.gadu, valsts pensija vai tās daļas apmērs, kas nepārsniedz 50% no iepriekšējā kalendārā gada vidējās apdrošināšanas iemaksu algas valstī, tiek indeksēts reizi gadā 1.oktobrī, ņemot vērā faktisko patēriņa cenu indeksu un 25% no apdrošināšanas iemaksu algas reālā pieauguma procentiem.</w:t>
      </w:r>
    </w:p>
    <w:p w14:paraId="360045DF" w14:textId="77777777" w:rsidR="00E773FD" w:rsidRPr="00E773FD" w:rsidRDefault="00E773FD" w:rsidP="00AE4549">
      <w:pPr>
        <w:spacing w:after="60" w:line="240" w:lineRule="auto"/>
        <w:ind w:firstLine="720"/>
        <w:jc w:val="both"/>
        <w:rPr>
          <w:rFonts w:ascii="Times New Roman" w:hAnsi="Times New Roman" w:cs="Times New Roman"/>
          <w:sz w:val="24"/>
          <w:szCs w:val="24"/>
        </w:rPr>
      </w:pPr>
      <w:r w:rsidRPr="00E773FD">
        <w:rPr>
          <w:rFonts w:ascii="Times New Roman" w:hAnsi="Times New Roman" w:cs="Times New Roman"/>
          <w:sz w:val="24"/>
          <w:szCs w:val="24"/>
        </w:rPr>
        <w:t xml:space="preserve">Tāpat 2012.gadā tika veikti grozījumi Valsts </w:t>
      </w:r>
      <w:r w:rsidRPr="00E773FD">
        <w:rPr>
          <w:rFonts w:ascii="Times New Roman" w:hAnsi="Times New Roman" w:cs="Times New Roman"/>
          <w:noProof/>
          <w:sz w:val="24"/>
          <w:szCs w:val="24"/>
        </w:rPr>
        <w:t>fondēto</w:t>
      </w:r>
      <w:r w:rsidRPr="00E773FD">
        <w:rPr>
          <w:rFonts w:ascii="Times New Roman" w:hAnsi="Times New Roman" w:cs="Times New Roman"/>
          <w:sz w:val="24"/>
          <w:szCs w:val="24"/>
        </w:rPr>
        <w:t xml:space="preserve"> pensiju likumā, kas paredz pakāpeniskāku iemaksu likmes paaugstināšanu pensiju sistēmas 2.līmenī – 2015.gadā iemaksu likmi palielinot no 4% līdz 5% un 2016.gadā līdz 6%.</w:t>
      </w:r>
    </w:p>
    <w:p w14:paraId="438545E4" w14:textId="77777777" w:rsidR="000144E7" w:rsidRPr="00F51615" w:rsidRDefault="000144E7" w:rsidP="000144E7">
      <w:pPr>
        <w:spacing w:after="60" w:line="240" w:lineRule="auto"/>
        <w:ind w:firstLine="709"/>
        <w:jc w:val="both"/>
        <w:rPr>
          <w:rFonts w:ascii="Times New Roman" w:eastAsiaTheme="majorEastAsia" w:hAnsi="Times New Roman" w:cs="Times New Roman"/>
          <w:b/>
          <w:bCs/>
          <w:smallCaps/>
          <w:color w:val="000000" w:themeColor="text1"/>
          <w:sz w:val="24"/>
          <w:szCs w:val="28"/>
        </w:rPr>
      </w:pPr>
    </w:p>
    <w:p w14:paraId="6AD71969" w14:textId="77777777" w:rsidR="00A34463" w:rsidRDefault="00A34463" w:rsidP="001F01DA">
      <w:pPr>
        <w:pStyle w:val="Heading2"/>
        <w:numPr>
          <w:ilvl w:val="1"/>
          <w:numId w:val="1"/>
        </w:numPr>
        <w:spacing w:before="240" w:after="120"/>
        <w:ind w:left="709"/>
        <w:rPr>
          <w:rFonts w:ascii="Times New Roman" w:hAnsi="Times New Roman" w:cs="Times New Roman"/>
          <w:sz w:val="24"/>
        </w:rPr>
      </w:pPr>
      <w:bookmarkStart w:id="20" w:name="_Toc416279081"/>
      <w:r w:rsidRPr="00F51615">
        <w:rPr>
          <w:rFonts w:ascii="Times New Roman" w:hAnsi="Times New Roman" w:cs="Times New Roman"/>
          <w:sz w:val="24"/>
        </w:rPr>
        <w:t>Valsts sniegtie galvojumi</w:t>
      </w:r>
      <w:bookmarkEnd w:id="20"/>
    </w:p>
    <w:p w14:paraId="0F097DAC" w14:textId="77777777" w:rsidR="0009609E" w:rsidRPr="0009609E" w:rsidRDefault="0009609E" w:rsidP="00CC6037">
      <w:pPr>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 xml:space="preserve">2014.gadā saskaņā ar likumu „Par valsts budžetu 2014.gadam” bija plānots izsniegt galvojumus 40,9 milj.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apmērā tikai studējošo kreditēšanas (12,8 milj.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un studiju kreditēšanas (28,1 milj.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programmu īstenošanai. 2014.gadā faktiski izsniegtie valsts galvojumi par studiju un studējošo saistībām bija 10,6 milj.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w:t>
      </w:r>
    </w:p>
    <w:p w14:paraId="7A26EA13" w14:textId="177ECDBC" w:rsidR="0009609E" w:rsidRPr="0009609E" w:rsidRDefault="0009609E" w:rsidP="00CC6037">
      <w:pPr>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 xml:space="preserve">Valsts galvoto aizdevumu atlikums 2014.gada beigās sasniedza 592,6 milj.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kas salīdzinājumā ar valsts galvoto aizdevumu atlikumu 2013.gada beigās ir samazinājies par 70,3 milj.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w:t>
      </w:r>
    </w:p>
    <w:p w14:paraId="41EEDCC1" w14:textId="77777777" w:rsidR="0009609E" w:rsidRPr="0009609E" w:rsidRDefault="0009609E" w:rsidP="0009609E">
      <w:pPr>
        <w:spacing w:after="0" w:line="240" w:lineRule="auto"/>
        <w:ind w:firstLine="426"/>
        <w:jc w:val="center"/>
        <w:rPr>
          <w:rFonts w:ascii="Times New Roman" w:eastAsia="Times New Roman" w:hAnsi="Times New Roman" w:cs="Times New Roman"/>
          <w:b/>
          <w:bCs/>
          <w:sz w:val="24"/>
          <w:szCs w:val="24"/>
        </w:rPr>
      </w:pPr>
      <w:r w:rsidRPr="0009609E">
        <w:rPr>
          <w:rFonts w:ascii="Times New Roman" w:eastAsia="Times New Roman" w:hAnsi="Times New Roman" w:cs="Times New Roman"/>
          <w:noProof/>
          <w:sz w:val="24"/>
          <w:szCs w:val="24"/>
          <w:lang w:eastAsia="lv-LV"/>
        </w:rPr>
        <w:drawing>
          <wp:inline distT="0" distB="0" distL="0" distR="0" wp14:anchorId="7FF5B485" wp14:editId="101B4782">
            <wp:extent cx="3162300" cy="2546350"/>
            <wp:effectExtent l="0" t="0" r="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397A9B7" w14:textId="43C16C27" w:rsidR="0009609E" w:rsidRPr="0009609E" w:rsidRDefault="001F01DA" w:rsidP="003C2897">
      <w:pPr>
        <w:spacing w:after="0" w:line="240" w:lineRule="auto"/>
        <w:ind w:firstLine="426"/>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7.</w:t>
      </w:r>
      <w:r w:rsidR="0009609E" w:rsidRPr="0009609E">
        <w:rPr>
          <w:rFonts w:ascii="Times New Roman" w:eastAsia="Times New Roman" w:hAnsi="Times New Roman" w:cs="Times New Roman"/>
          <w:b/>
          <w:bCs/>
          <w:sz w:val="24"/>
          <w:szCs w:val="24"/>
        </w:rPr>
        <w:t xml:space="preserve">1.attēls. Valsts galvoto aizdevumu atlikums attiecīgā gada beigās (milj. </w:t>
      </w:r>
      <w:r w:rsidR="0009609E" w:rsidRPr="0009609E">
        <w:rPr>
          <w:rFonts w:ascii="Times New Roman" w:eastAsia="Times New Roman" w:hAnsi="Times New Roman" w:cs="Times New Roman"/>
          <w:b/>
          <w:bCs/>
          <w:i/>
          <w:sz w:val="24"/>
          <w:szCs w:val="24"/>
        </w:rPr>
        <w:t>euro</w:t>
      </w:r>
      <w:r w:rsidR="0009609E" w:rsidRPr="0009609E">
        <w:rPr>
          <w:rFonts w:ascii="Times New Roman" w:eastAsia="Times New Roman" w:hAnsi="Times New Roman" w:cs="Times New Roman"/>
          <w:b/>
          <w:bCs/>
          <w:sz w:val="24"/>
          <w:szCs w:val="24"/>
        </w:rPr>
        <w:t>)</w:t>
      </w:r>
    </w:p>
    <w:p w14:paraId="4D1AE97B" w14:textId="77777777" w:rsidR="0009609E" w:rsidRPr="0009609E" w:rsidRDefault="0009609E" w:rsidP="00CC6037">
      <w:pPr>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 xml:space="preserve">Likumā „Par valsts budžetu 2015.gadam” paredzēti valsts galvojumi 37,8 milj. </w:t>
      </w:r>
      <w:r w:rsidRPr="0009609E">
        <w:rPr>
          <w:rFonts w:ascii="Times New Roman" w:eastAsia="Times New Roman" w:hAnsi="Times New Roman" w:cs="Times New Roman"/>
          <w:i/>
          <w:iCs/>
          <w:sz w:val="24"/>
          <w:szCs w:val="24"/>
        </w:rPr>
        <w:t xml:space="preserve">euro </w:t>
      </w:r>
      <w:r w:rsidRPr="0009609E">
        <w:rPr>
          <w:rFonts w:ascii="Times New Roman" w:eastAsia="Times New Roman" w:hAnsi="Times New Roman" w:cs="Times New Roman"/>
          <w:sz w:val="24"/>
          <w:szCs w:val="24"/>
        </w:rPr>
        <w:t xml:space="preserve">apmērā, tai skaitā studējošo kreditēšanai 10,8 milj. </w:t>
      </w:r>
      <w:r w:rsidRPr="0009609E">
        <w:rPr>
          <w:rFonts w:ascii="Times New Roman" w:eastAsia="Times New Roman" w:hAnsi="Times New Roman" w:cs="Times New Roman"/>
          <w:i/>
          <w:iCs/>
          <w:sz w:val="24"/>
          <w:szCs w:val="24"/>
        </w:rPr>
        <w:t xml:space="preserve">euro </w:t>
      </w:r>
      <w:r w:rsidRPr="0009609E">
        <w:rPr>
          <w:rFonts w:ascii="Times New Roman" w:eastAsia="Times New Roman" w:hAnsi="Times New Roman" w:cs="Times New Roman"/>
          <w:sz w:val="24"/>
          <w:szCs w:val="24"/>
        </w:rPr>
        <w:t xml:space="preserve">apmērā, studiju kreditēšanai 25,2 milj. </w:t>
      </w:r>
      <w:r w:rsidRPr="0009609E">
        <w:rPr>
          <w:rFonts w:ascii="Times New Roman" w:eastAsia="Times New Roman" w:hAnsi="Times New Roman" w:cs="Times New Roman"/>
          <w:i/>
          <w:iCs/>
          <w:sz w:val="24"/>
          <w:szCs w:val="24"/>
        </w:rPr>
        <w:t xml:space="preserve">euro </w:t>
      </w:r>
      <w:r w:rsidRPr="0009609E">
        <w:rPr>
          <w:rFonts w:ascii="Times New Roman" w:eastAsia="Times New Roman" w:hAnsi="Times New Roman" w:cs="Times New Roman"/>
          <w:sz w:val="24"/>
          <w:szCs w:val="24"/>
        </w:rPr>
        <w:t xml:space="preserve">apmērā un Eiropas Investīciju bankas finansēto projektu finansēšanai Āfrikas, Karību jūras reģiona un Klusā okeāna valstīs un Aizjūras zemēs un teritorijās – 1,8 milj. </w:t>
      </w:r>
      <w:r w:rsidRPr="0009609E">
        <w:rPr>
          <w:rFonts w:ascii="Times New Roman" w:eastAsia="Times New Roman" w:hAnsi="Times New Roman" w:cs="Times New Roman"/>
          <w:i/>
          <w:sz w:val="24"/>
          <w:szCs w:val="24"/>
        </w:rPr>
        <w:t>euro</w:t>
      </w:r>
      <w:r w:rsidRPr="0009609E">
        <w:rPr>
          <w:rFonts w:ascii="Times New Roman" w:eastAsia="Times New Roman" w:hAnsi="Times New Roman" w:cs="Times New Roman"/>
          <w:sz w:val="24"/>
          <w:szCs w:val="24"/>
        </w:rPr>
        <w:t xml:space="preserve"> apmērā.</w:t>
      </w:r>
    </w:p>
    <w:p w14:paraId="1C7BDF24" w14:textId="77777777" w:rsidR="0009609E" w:rsidRPr="0009609E" w:rsidRDefault="0009609E" w:rsidP="00CC6037">
      <w:pPr>
        <w:spacing w:after="60" w:line="240" w:lineRule="auto"/>
        <w:ind w:firstLine="720"/>
        <w:jc w:val="both"/>
        <w:rPr>
          <w:rFonts w:ascii="Times New Roman" w:eastAsia="Times New Roman" w:hAnsi="Times New Roman" w:cs="Times New Roman"/>
          <w:sz w:val="24"/>
          <w:szCs w:val="20"/>
        </w:rPr>
      </w:pPr>
      <w:r w:rsidRPr="0009609E">
        <w:rPr>
          <w:rFonts w:ascii="Times New Roman" w:eastAsia="SimSun" w:hAnsi="Times New Roman" w:cs="Times New Roman"/>
          <w:color w:val="000000"/>
          <w:sz w:val="24"/>
          <w:szCs w:val="24"/>
          <w:lang w:eastAsia="zh-CN"/>
        </w:rPr>
        <w:t xml:space="preserve">Izvērtējot informāciju par aizņēmēju finansiālo stāvokli, līdzšinējo kredītvēsturi, nodrošinājuma likviditāti un apjomu, kā arī citu pieejamo informāciju, kā relatīvi riskantāki tiek novērtēti galvojumi 16 aizņēmējiem, lielāko daļu no kuriem veido slimnīcu atbalstam izsniegtie galvotie aizdevumi. Minētajiem aizņēmējiem galvoto aizņēmumu neatmaksātais atlikums 2014.gada 31.decembrī veidoja 58% no kopējā galvoto aizdevumu neatmaksātā atlikuma. Ņemot vērā minēto izvērtējumu, pastāv varbūtība, ka relatīvi riskanto valsts galvoto aizdevumu saistības vai to daļa varētu netikt izpildītas noteiktajā termiņā. Attiecīgi likumā „Par valsts budžetu 2015.gadam” valdības rīcības pieļaujamās robežas, lai segtu izdevumus, kas var rasties, pildot uz valsts budžetu attiecināmās valsts galvotā parāda saistības 2015.gadā, ir noteiktas 133,8 milj. </w:t>
      </w:r>
      <w:r w:rsidRPr="0009609E">
        <w:rPr>
          <w:rFonts w:ascii="Times New Roman" w:eastAsia="SimSun" w:hAnsi="Times New Roman" w:cs="Times New Roman"/>
          <w:i/>
          <w:color w:val="000000"/>
          <w:sz w:val="24"/>
          <w:szCs w:val="24"/>
          <w:lang w:eastAsia="zh-CN"/>
        </w:rPr>
        <w:t>euro</w:t>
      </w:r>
      <w:r w:rsidRPr="0009609E">
        <w:rPr>
          <w:rFonts w:ascii="Times New Roman" w:eastAsia="SimSun" w:hAnsi="Times New Roman" w:cs="Times New Roman"/>
          <w:color w:val="000000"/>
          <w:sz w:val="24"/>
          <w:szCs w:val="24"/>
          <w:lang w:eastAsia="zh-CN"/>
        </w:rPr>
        <w:t xml:space="preserve"> apmērā (~0,5 % no IKP).</w:t>
      </w:r>
    </w:p>
    <w:p w14:paraId="572C182E" w14:textId="3BC9AF83" w:rsidR="0009609E" w:rsidRPr="0009609E" w:rsidRDefault="0009609E" w:rsidP="00CC6037">
      <w:pPr>
        <w:tabs>
          <w:tab w:val="left" w:pos="4500"/>
          <w:tab w:val="right" w:pos="8280"/>
        </w:tabs>
        <w:spacing w:after="60" w:line="240" w:lineRule="auto"/>
        <w:ind w:firstLine="720"/>
        <w:jc w:val="both"/>
        <w:rPr>
          <w:rFonts w:ascii="Times New Roman" w:eastAsia="Times New Roman" w:hAnsi="Times New Roman" w:cs="Times New Roman"/>
          <w:sz w:val="24"/>
          <w:szCs w:val="24"/>
        </w:rPr>
      </w:pPr>
      <w:r w:rsidRPr="0009609E">
        <w:rPr>
          <w:rFonts w:ascii="Times New Roman" w:eastAsia="Times New Roman" w:hAnsi="Times New Roman" w:cs="Times New Roman"/>
          <w:sz w:val="24"/>
          <w:szCs w:val="24"/>
        </w:rPr>
        <w:t xml:space="preserve">2014.gada 8.jūlijā stājās spēkā jaunie </w:t>
      </w:r>
      <w:r w:rsidR="005C432D">
        <w:rPr>
          <w:rFonts w:ascii="Times New Roman" w:eastAsia="Times New Roman" w:hAnsi="Times New Roman" w:cs="Times New Roman"/>
          <w:sz w:val="24"/>
          <w:szCs w:val="24"/>
        </w:rPr>
        <w:t>MK</w:t>
      </w:r>
      <w:r w:rsidRPr="0009609E">
        <w:rPr>
          <w:rFonts w:ascii="Times New Roman" w:eastAsia="Times New Roman" w:hAnsi="Times New Roman" w:cs="Times New Roman"/>
          <w:sz w:val="24"/>
          <w:szCs w:val="24"/>
        </w:rPr>
        <w:t xml:space="preserve"> noteikumi Nr.391 „Kārtība, kādā gadskārtējā valsts budžeta likumprojektā iekļauj pieprasījumus valsts vārdā sniedzamajiem galvojumiem, un galvojumu sniegšanas un uzraudzības kārtība”, kas tika izstrādāti valsts galvojumu politikas pilnveidošanas procesa ietvaros, nosakot stingrākas normas un iekļaujot paaugstināta aizdevuma atmaksas riska noteikšanas kritērijus, pastiprinot valsts galvoto saistību uzraudzību, palielinot nozares ministrijas atbildību par projekta biznesa plāna īstenošanas gaitu, lai nodrošinātu tā atbilstību attiecīgās nozares ministrijas politikas plānošanas dokumentos noteikto mērķu sasniegšanai, kā arī paredzēta rīcība, kad pasliktinās valsts galvojuma saņēmēja finanšu rādītāji un komercķīlas priekšmeta vērtība, lai maksimāli tiktu nodrošināta valsts interešu aizsardzība. </w:t>
      </w:r>
    </w:p>
    <w:p w14:paraId="51A88E14" w14:textId="77777777" w:rsidR="0009609E" w:rsidRPr="0009609E" w:rsidRDefault="0009609E" w:rsidP="0009609E"/>
    <w:p w14:paraId="4A5F6849" w14:textId="77777777" w:rsidR="005536A9" w:rsidRPr="00F51615" w:rsidRDefault="005536A9">
      <w:pPr>
        <w:rPr>
          <w:rFonts w:ascii="Times New Roman" w:eastAsiaTheme="majorEastAsia" w:hAnsi="Times New Roman" w:cs="Times New Roman"/>
          <w:b/>
          <w:bCs/>
          <w:smallCaps/>
          <w:color w:val="000000" w:themeColor="text1"/>
          <w:sz w:val="32"/>
          <w:szCs w:val="36"/>
        </w:rPr>
      </w:pPr>
      <w:r w:rsidRPr="00F51615">
        <w:rPr>
          <w:rFonts w:ascii="Times New Roman" w:hAnsi="Times New Roman" w:cs="Times New Roman"/>
          <w:sz w:val="32"/>
        </w:rPr>
        <w:br w:type="page"/>
      </w:r>
    </w:p>
    <w:p w14:paraId="49309C40" w14:textId="77777777" w:rsidR="003F78CC" w:rsidRPr="00F51615" w:rsidRDefault="005536A9" w:rsidP="00F512CA">
      <w:pPr>
        <w:pStyle w:val="Heading1"/>
        <w:numPr>
          <w:ilvl w:val="0"/>
          <w:numId w:val="1"/>
        </w:numPr>
        <w:ind w:left="284" w:hanging="283"/>
        <w:jc w:val="center"/>
        <w:rPr>
          <w:rFonts w:ascii="Times New Roman" w:hAnsi="Times New Roman" w:cs="Times New Roman"/>
          <w:sz w:val="32"/>
        </w:rPr>
      </w:pPr>
      <w:bookmarkStart w:id="21" w:name="_Toc416279082"/>
      <w:r w:rsidRPr="00F51615">
        <w:rPr>
          <w:rFonts w:ascii="Times New Roman" w:hAnsi="Times New Roman" w:cs="Times New Roman"/>
          <w:sz w:val="32"/>
        </w:rPr>
        <w:t>Valsts finanšu institucionālās iezīmes</w:t>
      </w:r>
      <w:bookmarkEnd w:id="21"/>
    </w:p>
    <w:p w14:paraId="03F7FCAE" w14:textId="2FB009A4" w:rsidR="003666E9" w:rsidRPr="001F01DA" w:rsidRDefault="00A34463" w:rsidP="001F01DA">
      <w:pPr>
        <w:pStyle w:val="Heading2"/>
        <w:numPr>
          <w:ilvl w:val="1"/>
          <w:numId w:val="1"/>
        </w:numPr>
        <w:spacing w:before="240" w:after="120"/>
        <w:ind w:left="709"/>
        <w:rPr>
          <w:rFonts w:ascii="Times New Roman" w:hAnsi="Times New Roman" w:cs="Times New Roman"/>
          <w:sz w:val="24"/>
        </w:rPr>
      </w:pPr>
      <w:bookmarkStart w:id="22" w:name="_Toc416279083"/>
      <w:r w:rsidRPr="00F51615">
        <w:rPr>
          <w:rFonts w:ascii="Times New Roman" w:hAnsi="Times New Roman" w:cs="Times New Roman"/>
          <w:sz w:val="24"/>
        </w:rPr>
        <w:t>Valsts budžeta noteikumu ieviešana</w:t>
      </w:r>
      <w:r w:rsidR="003666E9">
        <w:rPr>
          <w:rFonts w:ascii="Times New Roman" w:hAnsi="Times New Roman" w:cs="Times New Roman"/>
          <w:sz w:val="24"/>
        </w:rPr>
        <w:t xml:space="preserve"> un citas institucionālās attīstības attiecībā uz valsts finansēm</w:t>
      </w:r>
      <w:bookmarkEnd w:id="22"/>
    </w:p>
    <w:p w14:paraId="5BA55229" w14:textId="6B1189BD" w:rsidR="003666E9" w:rsidRDefault="003666E9" w:rsidP="003666E9">
      <w:pPr>
        <w:spacing w:after="120" w:line="240" w:lineRule="auto"/>
        <w:ind w:firstLine="567"/>
        <w:jc w:val="both"/>
        <w:rPr>
          <w:rFonts w:ascii="Times New Roman" w:eastAsia="Times New Roman" w:hAnsi="Times New Roman" w:cs="Times New Roman"/>
          <w:sz w:val="24"/>
          <w:szCs w:val="20"/>
        </w:rPr>
      </w:pPr>
      <w:r w:rsidRPr="003666E9">
        <w:rPr>
          <w:rFonts w:ascii="Times New Roman" w:eastAsia="Times New Roman" w:hAnsi="Times New Roman" w:cs="Times New Roman"/>
          <w:sz w:val="24"/>
          <w:szCs w:val="20"/>
        </w:rPr>
        <w:t xml:space="preserve">Kopš FDL stāšanās spēkā 2013.gada 6.martā gan 2014.gada, gan 2015.gada valsts budžeta un Ietvara likuma veidošanas procesā tika nodrošināta fiskālo nosacījumu ieviešana. Vienlaikus jāatzīmē, ka </w:t>
      </w:r>
      <w:r w:rsidR="004903E4">
        <w:rPr>
          <w:rFonts w:ascii="Times New Roman" w:eastAsia="Times New Roman" w:hAnsi="Times New Roman" w:cs="Times New Roman"/>
          <w:sz w:val="24"/>
          <w:szCs w:val="20"/>
        </w:rPr>
        <w:t>EK</w:t>
      </w:r>
      <w:r w:rsidRPr="003666E9">
        <w:rPr>
          <w:rFonts w:ascii="Times New Roman" w:eastAsia="Times New Roman" w:hAnsi="Times New Roman" w:cs="Times New Roman"/>
          <w:sz w:val="24"/>
          <w:szCs w:val="20"/>
        </w:rPr>
        <w:t xml:space="preserve"> vērtējumā Latvija ir viena no dalībvalstīm, kas pilnībā atbilst </w:t>
      </w:r>
      <w:r w:rsidR="004903E4">
        <w:rPr>
          <w:rFonts w:ascii="Times New Roman" w:eastAsia="Times New Roman" w:hAnsi="Times New Roman" w:cs="Times New Roman"/>
          <w:sz w:val="24"/>
          <w:szCs w:val="20"/>
        </w:rPr>
        <w:t>SIP</w:t>
      </w:r>
      <w:r w:rsidRPr="003666E9">
        <w:rPr>
          <w:rFonts w:ascii="Times New Roman" w:eastAsia="Times New Roman" w:hAnsi="Times New Roman" w:cs="Times New Roman"/>
          <w:sz w:val="24"/>
          <w:szCs w:val="20"/>
        </w:rPr>
        <w:t xml:space="preserve"> nosacījumiem, ierindojot Latviju tādu valstu vidū, kā Vācija, Nīderlande, Luksemburga, Īrija un Slovākija.</w:t>
      </w:r>
    </w:p>
    <w:p w14:paraId="6788357B" w14:textId="45FDBC8F" w:rsidR="00595A9A" w:rsidRDefault="00595A9A" w:rsidP="003666E9">
      <w:pPr>
        <w:spacing w:after="12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Tāpat jāatzīmē, ka saskaņā ar EK </w:t>
      </w:r>
      <w:r w:rsidR="009C5694">
        <w:rPr>
          <w:rFonts w:ascii="Times New Roman" w:eastAsia="Times New Roman" w:hAnsi="Times New Roman" w:cs="Times New Roman"/>
          <w:sz w:val="24"/>
          <w:szCs w:val="20"/>
        </w:rPr>
        <w:t>datu bāzi par ES dalībvalstu fiskāl</w:t>
      </w:r>
      <w:r w:rsidR="003C2897">
        <w:rPr>
          <w:rFonts w:ascii="Times New Roman" w:eastAsia="Times New Roman" w:hAnsi="Times New Roman" w:cs="Times New Roman"/>
          <w:sz w:val="24"/>
          <w:szCs w:val="20"/>
        </w:rPr>
        <w:t>o</w:t>
      </w:r>
      <w:r w:rsidR="009C5694">
        <w:rPr>
          <w:rFonts w:ascii="Times New Roman" w:eastAsia="Times New Roman" w:hAnsi="Times New Roman" w:cs="Times New Roman"/>
          <w:sz w:val="24"/>
          <w:szCs w:val="20"/>
        </w:rPr>
        <w:t xml:space="preserve"> pārvaldību</w:t>
      </w:r>
      <w:r w:rsidR="009C5694">
        <w:rPr>
          <w:rStyle w:val="FootnoteReference"/>
          <w:rFonts w:eastAsia="Times New Roman" w:cs="Times New Roman"/>
          <w:szCs w:val="20"/>
        </w:rPr>
        <w:footnoteReference w:id="22"/>
      </w:r>
      <w:r w:rsidR="009C5694" w:rsidRPr="009C5694">
        <w:t xml:space="preserve"> </w:t>
      </w:r>
      <w:r w:rsidR="009C5694">
        <w:rPr>
          <w:rFonts w:ascii="Times New Roman" w:eastAsia="Times New Roman" w:hAnsi="Times New Roman" w:cs="Times New Roman"/>
          <w:sz w:val="24"/>
          <w:szCs w:val="20"/>
        </w:rPr>
        <w:t xml:space="preserve">Latvija </w:t>
      </w:r>
      <w:r w:rsidR="00DB2B30">
        <w:rPr>
          <w:rFonts w:ascii="Times New Roman" w:eastAsia="Times New Roman" w:hAnsi="Times New Roman" w:cs="Times New Roman"/>
          <w:sz w:val="24"/>
          <w:szCs w:val="20"/>
        </w:rPr>
        <w:t>2013.gadā  ir viena no divām valstīm, kas būtiski ir uzlabojusi fiskālo pārvaldību</w:t>
      </w:r>
      <w:r w:rsidR="00486064">
        <w:rPr>
          <w:rFonts w:ascii="Times New Roman" w:eastAsia="Times New Roman" w:hAnsi="Times New Roman" w:cs="Times New Roman"/>
          <w:sz w:val="24"/>
          <w:szCs w:val="20"/>
        </w:rPr>
        <w:t>,</w:t>
      </w:r>
      <w:r w:rsidR="00DB2B30">
        <w:rPr>
          <w:rFonts w:ascii="Times New Roman" w:eastAsia="Times New Roman" w:hAnsi="Times New Roman" w:cs="Times New Roman"/>
          <w:sz w:val="24"/>
          <w:szCs w:val="20"/>
        </w:rPr>
        <w:t xml:space="preserve"> un ieņem sesto vietu kā viena labākajām, kam </w:t>
      </w:r>
      <w:r w:rsidR="00486064">
        <w:rPr>
          <w:rFonts w:ascii="Times New Roman" w:eastAsia="Times New Roman" w:hAnsi="Times New Roman" w:cs="Times New Roman"/>
          <w:sz w:val="24"/>
          <w:szCs w:val="20"/>
        </w:rPr>
        <w:t xml:space="preserve">kopējais </w:t>
      </w:r>
      <w:r w:rsidR="00DB2B30">
        <w:rPr>
          <w:rFonts w:ascii="Times New Roman" w:eastAsia="Times New Roman" w:hAnsi="Times New Roman" w:cs="Times New Roman"/>
          <w:sz w:val="24"/>
          <w:szCs w:val="20"/>
        </w:rPr>
        <w:t>fiskālo nosacījumu stiprumu indekss ir augsts. Fiskālo nosacījumu indekss tiek aprēķināts, ņemot vērā</w:t>
      </w:r>
      <w:r w:rsidR="00486064">
        <w:rPr>
          <w:rFonts w:ascii="Times New Roman" w:eastAsia="Times New Roman" w:hAnsi="Times New Roman" w:cs="Times New Roman"/>
          <w:sz w:val="24"/>
          <w:szCs w:val="20"/>
        </w:rPr>
        <w:t xml:space="preserve"> spēkā esošos</w:t>
      </w:r>
      <w:r w:rsidR="00DB2B30">
        <w:rPr>
          <w:rFonts w:ascii="Times New Roman" w:eastAsia="Times New Roman" w:hAnsi="Times New Roman" w:cs="Times New Roman"/>
          <w:sz w:val="24"/>
          <w:szCs w:val="20"/>
        </w:rPr>
        <w:t xml:space="preserve"> skaitliskos fiskālos nosacījumus</w:t>
      </w:r>
      <w:r w:rsidR="00486064">
        <w:rPr>
          <w:rFonts w:ascii="Times New Roman" w:eastAsia="Times New Roman" w:hAnsi="Times New Roman" w:cs="Times New Roman"/>
          <w:sz w:val="24"/>
          <w:szCs w:val="20"/>
        </w:rPr>
        <w:t xml:space="preserve"> un</w:t>
      </w:r>
      <w:r w:rsidR="00DB2B30">
        <w:rPr>
          <w:rFonts w:ascii="Times New Roman" w:eastAsia="Times New Roman" w:hAnsi="Times New Roman" w:cs="Times New Roman"/>
          <w:sz w:val="24"/>
          <w:szCs w:val="20"/>
        </w:rPr>
        <w:t xml:space="preserve"> to attiecināšanu uz vispārējās valdības sektoriem, kā arī institucionālās iezīmes, to tiesi</w:t>
      </w:r>
      <w:r w:rsidR="003C2897">
        <w:rPr>
          <w:rFonts w:ascii="Times New Roman" w:eastAsia="Times New Roman" w:hAnsi="Times New Roman" w:cs="Times New Roman"/>
          <w:sz w:val="24"/>
          <w:szCs w:val="20"/>
        </w:rPr>
        <w:t>skumu, sabiedrības ieinteresētību.</w:t>
      </w:r>
    </w:p>
    <w:p w14:paraId="79BB2F9A" w14:textId="1242F042" w:rsidR="00486064" w:rsidRDefault="00486064" w:rsidP="00486064">
      <w:pPr>
        <w:spacing w:after="0" w:line="240" w:lineRule="auto"/>
        <w:ind w:firstLine="425"/>
        <w:jc w:val="center"/>
        <w:rPr>
          <w:rFonts w:ascii="Times New Roman" w:eastAsia="Times New Roman" w:hAnsi="Times New Roman" w:cs="Times New Roman"/>
          <w:b/>
          <w:bCs/>
          <w:sz w:val="24"/>
          <w:szCs w:val="24"/>
        </w:rPr>
      </w:pPr>
      <w:r w:rsidRPr="00486064">
        <w:rPr>
          <w:noProof/>
          <w:lang w:eastAsia="lv-LV"/>
        </w:rPr>
        <w:drawing>
          <wp:inline distT="0" distB="0" distL="0" distR="0" wp14:anchorId="2362CE7D" wp14:editId="20985333">
            <wp:extent cx="4427855" cy="22523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27855" cy="2252345"/>
                    </a:xfrm>
                    <a:prstGeom prst="rect">
                      <a:avLst/>
                    </a:prstGeom>
                    <a:noFill/>
                    <a:ln>
                      <a:noFill/>
                    </a:ln>
                  </pic:spPr>
                </pic:pic>
              </a:graphicData>
            </a:graphic>
          </wp:inline>
        </w:drawing>
      </w:r>
    </w:p>
    <w:p w14:paraId="68B2AAE3" w14:textId="0EBC9170" w:rsidR="009C5694" w:rsidRPr="0009609E" w:rsidRDefault="00486064" w:rsidP="00486064">
      <w:pPr>
        <w:spacing w:after="120" w:line="240" w:lineRule="auto"/>
        <w:ind w:firstLine="425"/>
        <w:jc w:val="center"/>
        <w:rPr>
          <w:rFonts w:ascii="Times New Roman" w:eastAsia="Times New Roman" w:hAnsi="Times New Roman" w:cs="Times New Roman"/>
          <w:b/>
          <w:bCs/>
          <w:color w:val="FF0000"/>
          <w:sz w:val="24"/>
          <w:szCs w:val="24"/>
        </w:rPr>
      </w:pPr>
      <w:r w:rsidRPr="00486064">
        <w:t xml:space="preserve"> </w:t>
      </w:r>
      <w:r w:rsidR="009C5694">
        <w:rPr>
          <w:rFonts w:ascii="Times New Roman" w:eastAsia="Times New Roman" w:hAnsi="Times New Roman" w:cs="Times New Roman"/>
          <w:b/>
          <w:bCs/>
          <w:sz w:val="24"/>
          <w:szCs w:val="24"/>
        </w:rPr>
        <w:t>8.</w:t>
      </w:r>
      <w:r w:rsidR="009C5694" w:rsidRPr="0009609E">
        <w:rPr>
          <w:rFonts w:ascii="Times New Roman" w:eastAsia="Times New Roman" w:hAnsi="Times New Roman" w:cs="Times New Roman"/>
          <w:b/>
          <w:bCs/>
          <w:sz w:val="24"/>
          <w:szCs w:val="24"/>
        </w:rPr>
        <w:t xml:space="preserve">1.attēls. </w:t>
      </w:r>
      <w:r w:rsidR="009C5694">
        <w:rPr>
          <w:rFonts w:ascii="Times New Roman" w:eastAsia="Times New Roman" w:hAnsi="Times New Roman" w:cs="Times New Roman"/>
          <w:b/>
          <w:bCs/>
          <w:sz w:val="24"/>
          <w:szCs w:val="24"/>
        </w:rPr>
        <w:t>Fiskālo nosacījumu indekss</w:t>
      </w:r>
    </w:p>
    <w:p w14:paraId="704DDC83" w14:textId="24207D71" w:rsidR="003666E9" w:rsidRPr="003666E9" w:rsidRDefault="003666E9" w:rsidP="003666E9">
      <w:pPr>
        <w:spacing w:after="120" w:line="240" w:lineRule="auto"/>
        <w:ind w:firstLine="567"/>
        <w:jc w:val="both"/>
        <w:rPr>
          <w:rFonts w:ascii="Times New Roman" w:eastAsia="Times New Roman" w:hAnsi="Times New Roman" w:cs="Times New Roman"/>
          <w:color w:val="000000"/>
          <w:sz w:val="24"/>
          <w:szCs w:val="24"/>
          <w:lang w:eastAsia="lv-LV"/>
        </w:rPr>
      </w:pPr>
      <w:r w:rsidRPr="003666E9">
        <w:rPr>
          <w:rFonts w:ascii="Times New Roman" w:eastAsia="Times New Roman" w:hAnsi="Times New Roman" w:cs="Times New Roman"/>
          <w:color w:val="000000"/>
          <w:sz w:val="24"/>
          <w:szCs w:val="24"/>
          <w:lang w:eastAsia="lv-LV"/>
        </w:rPr>
        <w:t xml:space="preserve">Atbilstoši FDL </w:t>
      </w:r>
      <w:r w:rsidR="00E42D7B">
        <w:rPr>
          <w:rFonts w:ascii="Times New Roman" w:eastAsia="Times New Roman" w:hAnsi="Times New Roman" w:cs="Times New Roman"/>
          <w:color w:val="000000"/>
          <w:sz w:val="24"/>
          <w:szCs w:val="24"/>
          <w:lang w:eastAsia="lv-LV"/>
        </w:rPr>
        <w:t>I</w:t>
      </w:r>
      <w:r w:rsidRPr="003666E9">
        <w:rPr>
          <w:rFonts w:ascii="Times New Roman" w:eastAsia="Times New Roman" w:hAnsi="Times New Roman" w:cs="Times New Roman"/>
          <w:color w:val="000000"/>
          <w:sz w:val="24"/>
          <w:szCs w:val="24"/>
          <w:lang w:eastAsia="lv-LV"/>
        </w:rPr>
        <w:t>etvara likuma un gadskārtējā valsts budžeta likuma, un to grozījumu sagatavošanā un izpildē ir jāievēro sekojoši fiskālie nosacījumi:</w:t>
      </w:r>
    </w:p>
    <w:p w14:paraId="761183D3" w14:textId="7F86D2A1" w:rsidR="003666E9" w:rsidRPr="003666E9" w:rsidRDefault="003666E9" w:rsidP="008920E5">
      <w:pPr>
        <w:numPr>
          <w:ilvl w:val="0"/>
          <w:numId w:val="20"/>
        </w:numPr>
        <w:spacing w:before="120" w:after="120" w:line="240" w:lineRule="auto"/>
        <w:jc w:val="both"/>
        <w:rPr>
          <w:rFonts w:ascii="Times New Roman" w:eastAsia="Times New Roman" w:hAnsi="Times New Roman" w:cs="Times New Roman"/>
          <w:color w:val="000000"/>
          <w:sz w:val="24"/>
          <w:szCs w:val="24"/>
          <w:lang w:eastAsia="lv-LV"/>
        </w:rPr>
      </w:pPr>
      <w:r w:rsidRPr="003666E9">
        <w:rPr>
          <w:rFonts w:ascii="Times New Roman" w:eastAsia="Times New Roman" w:hAnsi="Times New Roman" w:cs="Times New Roman"/>
          <w:b/>
          <w:color w:val="000000"/>
          <w:sz w:val="24"/>
          <w:szCs w:val="24"/>
          <w:lang w:eastAsia="lv-LV"/>
        </w:rPr>
        <w:t>Bilances nosacījums</w:t>
      </w:r>
      <w:r w:rsidRPr="003666E9">
        <w:rPr>
          <w:rFonts w:ascii="Times New Roman" w:eastAsia="Times New Roman" w:hAnsi="Times New Roman" w:cs="Times New Roman"/>
          <w:color w:val="000000"/>
          <w:sz w:val="24"/>
          <w:szCs w:val="24"/>
          <w:lang w:eastAsia="lv-LV"/>
        </w:rPr>
        <w:t>. FDL paredz sabalansētu budžetu strukturālajā izteiksmē, nosakot, ka strukturālā bilance nedrīkst būt mazāka par -0,5% no IKP;</w:t>
      </w:r>
    </w:p>
    <w:p w14:paraId="18FB27C5" w14:textId="1C709A00" w:rsidR="003666E9" w:rsidRPr="003666E9" w:rsidRDefault="003666E9" w:rsidP="008920E5">
      <w:pPr>
        <w:numPr>
          <w:ilvl w:val="0"/>
          <w:numId w:val="20"/>
        </w:numPr>
        <w:spacing w:before="120" w:after="120" w:line="240" w:lineRule="auto"/>
        <w:jc w:val="both"/>
        <w:rPr>
          <w:rFonts w:ascii="Times New Roman" w:eastAsia="Times New Roman" w:hAnsi="Times New Roman" w:cs="Times New Roman"/>
          <w:color w:val="000000"/>
          <w:sz w:val="24"/>
          <w:szCs w:val="24"/>
          <w:lang w:eastAsia="lv-LV"/>
        </w:rPr>
      </w:pPr>
      <w:r w:rsidRPr="003666E9">
        <w:rPr>
          <w:rFonts w:ascii="Times New Roman" w:eastAsia="Times New Roman" w:hAnsi="Times New Roman" w:cs="Times New Roman"/>
          <w:b/>
          <w:color w:val="000000"/>
          <w:sz w:val="24"/>
          <w:szCs w:val="24"/>
          <w:lang w:eastAsia="lv-LV"/>
        </w:rPr>
        <w:t>Izdevumu pieauguma tempa nosacījums</w:t>
      </w:r>
      <w:r w:rsidRPr="003666E9">
        <w:rPr>
          <w:rFonts w:ascii="Times New Roman" w:eastAsia="Times New Roman" w:hAnsi="Times New Roman" w:cs="Times New Roman"/>
          <w:color w:val="000000"/>
          <w:sz w:val="24"/>
          <w:szCs w:val="24"/>
          <w:lang w:eastAsia="lv-LV"/>
        </w:rPr>
        <w:t xml:space="preserve">. FDL paredz, ka papildus tam, ka tiek ierobežots strukturālais deficīts, tiek noteikts arī, ka izdevumi, izslēdzot IKP deflatoru, nedrīkst augt ātrāk kā </w:t>
      </w:r>
      <w:r w:rsidR="009720A1">
        <w:rPr>
          <w:rFonts w:ascii="Times New Roman" w:eastAsia="Times New Roman" w:hAnsi="Times New Roman" w:cs="Times New Roman"/>
          <w:color w:val="000000"/>
          <w:sz w:val="24"/>
          <w:szCs w:val="24"/>
          <w:lang w:eastAsia="lv-LV"/>
        </w:rPr>
        <w:t xml:space="preserve">vidējais </w:t>
      </w:r>
      <w:r w:rsidRPr="003666E9">
        <w:rPr>
          <w:rFonts w:ascii="Times New Roman" w:eastAsia="Times New Roman" w:hAnsi="Times New Roman" w:cs="Times New Roman"/>
          <w:color w:val="000000"/>
          <w:sz w:val="24"/>
          <w:szCs w:val="24"/>
          <w:lang w:eastAsia="lv-LV"/>
        </w:rPr>
        <w:t xml:space="preserve">potenciālā IKP pieaugums. </w:t>
      </w:r>
      <w:r w:rsidR="009720A1">
        <w:rPr>
          <w:rFonts w:ascii="Times New Roman" w:eastAsia="Times New Roman" w:hAnsi="Times New Roman" w:cs="Times New Roman"/>
          <w:color w:val="000000"/>
          <w:sz w:val="24"/>
          <w:szCs w:val="24"/>
          <w:lang w:eastAsia="lv-LV"/>
        </w:rPr>
        <w:t>Jāmin, ka š</w:t>
      </w:r>
      <w:r w:rsidRPr="003666E9">
        <w:rPr>
          <w:rFonts w:ascii="Times New Roman" w:eastAsia="Times New Roman" w:hAnsi="Times New Roman" w:cs="Times New Roman"/>
          <w:color w:val="000000"/>
          <w:sz w:val="24"/>
          <w:szCs w:val="24"/>
          <w:lang w:eastAsia="lv-LV"/>
        </w:rPr>
        <w:t>im nosacījumam ir paredzēti izņēmumi saskaņā ar</w:t>
      </w:r>
      <w:r w:rsidR="00716665">
        <w:rPr>
          <w:rFonts w:ascii="Times New Roman" w:eastAsia="Times New Roman" w:hAnsi="Times New Roman" w:cs="Times New Roman"/>
          <w:color w:val="000000"/>
          <w:sz w:val="24"/>
          <w:szCs w:val="24"/>
          <w:lang w:eastAsia="lv-LV"/>
        </w:rPr>
        <w:t xml:space="preserve"> Padomes Regulas Nr. 1175/2011 </w:t>
      </w:r>
      <w:r w:rsidRPr="003666E9">
        <w:rPr>
          <w:rFonts w:ascii="Times New Roman" w:eastAsia="Times New Roman" w:hAnsi="Times New Roman" w:cs="Times New Roman"/>
          <w:color w:val="000000"/>
          <w:sz w:val="24"/>
          <w:szCs w:val="24"/>
          <w:lang w:eastAsia="lv-LV"/>
        </w:rPr>
        <w:t>9.pantā noteiktajām atkāpēm;</w:t>
      </w:r>
    </w:p>
    <w:p w14:paraId="76317C9E" w14:textId="5457B035" w:rsidR="003666E9" w:rsidRPr="003666E9" w:rsidRDefault="003666E9" w:rsidP="008920E5">
      <w:pPr>
        <w:numPr>
          <w:ilvl w:val="0"/>
          <w:numId w:val="20"/>
        </w:numPr>
        <w:spacing w:before="120" w:after="120" w:line="240" w:lineRule="auto"/>
        <w:jc w:val="both"/>
        <w:rPr>
          <w:rFonts w:ascii="Times New Roman" w:eastAsia="Times New Roman" w:hAnsi="Times New Roman" w:cs="Times New Roman"/>
          <w:color w:val="000000"/>
          <w:sz w:val="24"/>
          <w:szCs w:val="24"/>
          <w:lang w:eastAsia="lv-LV"/>
        </w:rPr>
      </w:pPr>
      <w:r w:rsidRPr="003666E9">
        <w:rPr>
          <w:rFonts w:ascii="Times New Roman" w:eastAsia="Times New Roman" w:hAnsi="Times New Roman" w:cs="Times New Roman"/>
          <w:b/>
          <w:color w:val="000000"/>
          <w:sz w:val="24"/>
          <w:szCs w:val="24"/>
          <w:lang w:eastAsia="lv-LV"/>
        </w:rPr>
        <w:t>Valsts budžeta izdevumu sliekšņu noteikšana vidējā termiņā</w:t>
      </w:r>
      <w:r w:rsidRPr="003666E9">
        <w:rPr>
          <w:rFonts w:ascii="Times New Roman" w:eastAsia="Times New Roman" w:hAnsi="Times New Roman" w:cs="Times New Roman"/>
          <w:color w:val="000000"/>
          <w:sz w:val="24"/>
          <w:szCs w:val="24"/>
          <w:lang w:eastAsia="lv-LV"/>
        </w:rPr>
        <w:t>. FDL dod sākotnējos fiskālos rādītājus, saskaņā ar kuriem tiek izstrādāts Ietvara likums. Šajā likumā viens no būtiskākajiem rādītājiem ir valsts izdevumu sliekšņi turpmākajiem 3 gadiem. FDL nosaka, ka kā standarta nosacījums darbojas šo izdevumu sliekšņu stabilitātes nosacījums – Ietvara likuma pirmā un otrā gada izdevumu sliekšņi tiek pārmantoti no iepriekšējā Ietvara likuma otrā un trešā gada izdevumu sliekšņiem. Kā atkāpe no minētā nosacījuma – izdevumu  sliekšņi netiek pārmantoti, ja sliekšņu lielums saskaņā ar atjaunotajām makroekonomiskajām prognozēm atšķiras no pārmantotajiem  sliekšņiem vairāk kā par 0,1% no IKP.</w:t>
      </w:r>
    </w:p>
    <w:p w14:paraId="6386A13F" w14:textId="09D0DFC1" w:rsidR="003666E9" w:rsidRPr="003666E9" w:rsidRDefault="009720A1" w:rsidP="003666E9">
      <w:pPr>
        <w:spacing w:before="120" w:after="120" w:line="240" w:lineRule="auto"/>
        <w:ind w:firstLine="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Papildu</w:t>
      </w:r>
      <w:r w:rsidR="003666E9" w:rsidRPr="003666E9">
        <w:rPr>
          <w:rFonts w:ascii="Times New Roman" w:eastAsia="Times New Roman" w:hAnsi="Times New Roman" w:cs="Times New Roman"/>
          <w:color w:val="000000"/>
          <w:sz w:val="24"/>
          <w:szCs w:val="24"/>
          <w:lang w:eastAsia="lv-LV"/>
        </w:rPr>
        <w:t xml:space="preserve"> stingru fiskālo nosacījumu ieviešanai, par to </w:t>
      </w:r>
      <w:r>
        <w:rPr>
          <w:rFonts w:ascii="Times New Roman" w:eastAsia="Times New Roman" w:hAnsi="Times New Roman" w:cs="Times New Roman"/>
          <w:color w:val="000000"/>
          <w:sz w:val="24"/>
          <w:szCs w:val="24"/>
          <w:lang w:eastAsia="lv-LV"/>
        </w:rPr>
        <w:t>uzraudzību</w:t>
      </w:r>
      <w:r w:rsidR="003666E9" w:rsidRPr="003666E9">
        <w:rPr>
          <w:rFonts w:ascii="Times New Roman" w:eastAsia="Times New Roman" w:hAnsi="Times New Roman" w:cs="Times New Roman"/>
          <w:color w:val="000000"/>
          <w:sz w:val="24"/>
          <w:szCs w:val="24"/>
          <w:lang w:eastAsia="lv-LV"/>
        </w:rPr>
        <w:t xml:space="preserve"> </w:t>
      </w:r>
      <w:r w:rsidR="003666E9" w:rsidRPr="003666E9">
        <w:rPr>
          <w:rFonts w:ascii="Times New Roman" w:eastAsia="Times New Roman" w:hAnsi="Times New Roman" w:cs="Times New Roman"/>
          <w:sz w:val="24"/>
          <w:szCs w:val="20"/>
        </w:rPr>
        <w:t xml:space="preserve">gan </w:t>
      </w:r>
      <w:r w:rsidR="003666E9" w:rsidRPr="003666E9">
        <w:rPr>
          <w:rFonts w:ascii="Times New Roman" w:eastAsia="Times New Roman" w:hAnsi="Times New Roman" w:cs="Times New Roman"/>
          <w:sz w:val="24"/>
          <w:szCs w:val="24"/>
        </w:rPr>
        <w:t xml:space="preserve">Ietvara likuma  un gadskārtējā valsts </w:t>
      </w:r>
      <w:r w:rsidR="003666E9" w:rsidRPr="003666E9">
        <w:rPr>
          <w:rFonts w:ascii="Times New Roman" w:eastAsia="Times New Roman" w:hAnsi="Times New Roman" w:cs="Times New Roman"/>
          <w:sz w:val="24"/>
          <w:szCs w:val="20"/>
        </w:rPr>
        <w:t>budžeta plānošanas procesā, gan arī izpildes stadijā</w:t>
      </w:r>
      <w:r w:rsidR="003666E9" w:rsidRPr="003666E9" w:rsidDel="00FC0B30">
        <w:rPr>
          <w:rFonts w:ascii="Times New Roman" w:eastAsia="Times New Roman" w:hAnsi="Times New Roman" w:cs="Times New Roman"/>
          <w:sz w:val="24"/>
          <w:szCs w:val="20"/>
        </w:rPr>
        <w:t xml:space="preserve"> </w:t>
      </w:r>
      <w:r w:rsidR="003666E9" w:rsidRPr="003666E9">
        <w:rPr>
          <w:rFonts w:ascii="Times New Roman" w:eastAsia="Times New Roman" w:hAnsi="Times New Roman" w:cs="Times New Roman"/>
          <w:sz w:val="24"/>
          <w:szCs w:val="20"/>
        </w:rPr>
        <w:t>ir atbildīga Fiskālā d</w:t>
      </w:r>
      <w:r w:rsidR="00E42D7B">
        <w:rPr>
          <w:rFonts w:ascii="Times New Roman" w:eastAsia="Times New Roman" w:hAnsi="Times New Roman" w:cs="Times New Roman"/>
          <w:sz w:val="24"/>
          <w:szCs w:val="20"/>
        </w:rPr>
        <w:t xml:space="preserve">isciplīnas padome, </w:t>
      </w:r>
      <w:r w:rsidR="003666E9" w:rsidRPr="003666E9">
        <w:rPr>
          <w:rFonts w:ascii="Times New Roman" w:eastAsia="Times New Roman" w:hAnsi="Times New Roman" w:cs="Times New Roman"/>
          <w:sz w:val="24"/>
          <w:szCs w:val="20"/>
        </w:rPr>
        <w:t xml:space="preserve">kura tika izveidota </w:t>
      </w:r>
      <w:r w:rsidR="00595A9A" w:rsidRPr="003666E9">
        <w:rPr>
          <w:rFonts w:ascii="Times New Roman" w:eastAsia="Times New Roman" w:hAnsi="Times New Roman" w:cs="Times New Roman"/>
          <w:sz w:val="24"/>
          <w:szCs w:val="20"/>
        </w:rPr>
        <w:t>201</w:t>
      </w:r>
      <w:r w:rsidR="00595A9A">
        <w:rPr>
          <w:rFonts w:ascii="Times New Roman" w:eastAsia="Times New Roman" w:hAnsi="Times New Roman" w:cs="Times New Roman"/>
          <w:sz w:val="24"/>
          <w:szCs w:val="20"/>
        </w:rPr>
        <w:t>3</w:t>
      </w:r>
      <w:r w:rsidR="003666E9" w:rsidRPr="003666E9">
        <w:rPr>
          <w:rFonts w:ascii="Times New Roman" w:eastAsia="Times New Roman" w:hAnsi="Times New Roman" w:cs="Times New Roman"/>
          <w:sz w:val="24"/>
          <w:szCs w:val="20"/>
        </w:rPr>
        <w:t>.gadā</w:t>
      </w:r>
      <w:r w:rsidR="00595A9A">
        <w:rPr>
          <w:rFonts w:ascii="Times New Roman" w:eastAsia="Times New Roman" w:hAnsi="Times New Roman" w:cs="Times New Roman"/>
          <w:sz w:val="24"/>
          <w:szCs w:val="20"/>
        </w:rPr>
        <w:t xml:space="preserve"> un sāka darboties 2014. gadā</w:t>
      </w:r>
      <w:r w:rsidR="003666E9" w:rsidRPr="003666E9">
        <w:rPr>
          <w:rFonts w:ascii="Times New Roman" w:eastAsia="Times New Roman" w:hAnsi="Times New Roman" w:cs="Times New Roman"/>
          <w:sz w:val="24"/>
          <w:szCs w:val="20"/>
        </w:rPr>
        <w:t>. Izstrādājot likumu “</w:t>
      </w:r>
      <w:r w:rsidR="003666E9" w:rsidRPr="003666E9">
        <w:rPr>
          <w:rFonts w:ascii="Times New Roman" w:eastAsia="Times New Roman" w:hAnsi="Times New Roman" w:cs="Times New Roman"/>
          <w:i/>
          <w:sz w:val="24"/>
          <w:szCs w:val="20"/>
        </w:rPr>
        <w:t>Par valsts budžetu 2015.gadam</w:t>
      </w:r>
      <w:r w:rsidR="003666E9" w:rsidRPr="003666E9">
        <w:rPr>
          <w:rFonts w:ascii="Times New Roman" w:eastAsia="Times New Roman" w:hAnsi="Times New Roman" w:cs="Times New Roman"/>
          <w:sz w:val="24"/>
          <w:szCs w:val="20"/>
        </w:rPr>
        <w:t>” un likumu “</w:t>
      </w:r>
      <w:r w:rsidR="003666E9" w:rsidRPr="003666E9">
        <w:rPr>
          <w:rFonts w:ascii="Times New Roman" w:eastAsia="Times New Roman" w:hAnsi="Times New Roman" w:cs="Times New Roman"/>
          <w:i/>
          <w:sz w:val="24"/>
          <w:szCs w:val="20"/>
        </w:rPr>
        <w:t>Par vidēja termiņa budžeta ietvar 2015., 2016. un 2017.gadam</w:t>
      </w:r>
      <w:r w:rsidR="003666E9" w:rsidRPr="003666E9">
        <w:rPr>
          <w:rFonts w:ascii="Times New Roman" w:eastAsia="Times New Roman" w:hAnsi="Times New Roman" w:cs="Times New Roman"/>
          <w:sz w:val="24"/>
          <w:szCs w:val="20"/>
        </w:rPr>
        <w:t>”, Padome sagatavoja pirmo fiskālās disciplīnas uzraudzības ziņojumu, kurā norādīja, ka kopumā tiek ievēroti FDL principi un nosacījumi.</w:t>
      </w:r>
    </w:p>
    <w:p w14:paraId="3EE4E4CC" w14:textId="3D7E0716" w:rsidR="003666E9" w:rsidRPr="003666E9" w:rsidRDefault="003666E9" w:rsidP="003666E9">
      <w:pPr>
        <w:spacing w:after="120" w:line="240" w:lineRule="auto"/>
        <w:ind w:firstLine="567"/>
        <w:jc w:val="both"/>
        <w:rPr>
          <w:rFonts w:ascii="Times New Roman" w:eastAsia="Times New Roman" w:hAnsi="Times New Roman" w:cs="Times New Roman"/>
          <w:sz w:val="24"/>
          <w:szCs w:val="20"/>
        </w:rPr>
      </w:pPr>
      <w:r w:rsidRPr="003666E9">
        <w:rPr>
          <w:rFonts w:ascii="Times New Roman" w:eastAsia="Times New Roman" w:hAnsi="Times New Roman" w:cs="Times New Roman"/>
          <w:sz w:val="24"/>
          <w:szCs w:val="20"/>
        </w:rPr>
        <w:t xml:space="preserve">2014.gadā tika ieviests viens no FDL instrumentiem – fiskālo risku vispārējās vadība, kuras mērķis ir </w:t>
      </w:r>
      <w:r w:rsidRPr="003666E9">
        <w:rPr>
          <w:rFonts w:ascii="Times New Roman" w:eastAsia="Times New Roman" w:hAnsi="Times New Roman" w:cs="Times New Roman"/>
          <w:color w:val="000000"/>
          <w:sz w:val="24"/>
          <w:szCs w:val="20"/>
        </w:rPr>
        <w:t xml:space="preserve">nodrošināt fiskālo rādītāju stabilitāti vidējā termiņā neatkarīgi no ārējo faktoru izraisītām izmaiņām, kā arī mazināt ārējo faktoru izraisīto izmaiņu ietekmi uz fiskālajiem rādītājiem katrā </w:t>
      </w:r>
      <w:r w:rsidR="00E42D7B">
        <w:rPr>
          <w:rFonts w:ascii="Times New Roman" w:eastAsia="Times New Roman" w:hAnsi="Times New Roman" w:cs="Times New Roman"/>
          <w:color w:val="000000"/>
          <w:sz w:val="24"/>
          <w:szCs w:val="20"/>
        </w:rPr>
        <w:t>I</w:t>
      </w:r>
      <w:r w:rsidRPr="003666E9">
        <w:rPr>
          <w:rFonts w:ascii="Times New Roman" w:eastAsia="Times New Roman" w:hAnsi="Times New Roman" w:cs="Times New Roman"/>
          <w:sz w:val="24"/>
          <w:szCs w:val="20"/>
        </w:rPr>
        <w:t xml:space="preserve">etvara likuma </w:t>
      </w:r>
      <w:r w:rsidRPr="003666E9">
        <w:rPr>
          <w:rFonts w:ascii="Times New Roman" w:eastAsia="Times New Roman" w:hAnsi="Times New Roman" w:cs="Times New Roman"/>
          <w:color w:val="000000"/>
          <w:sz w:val="24"/>
          <w:szCs w:val="20"/>
        </w:rPr>
        <w:t xml:space="preserve">perioda gadā. Sadarbībā ar centrālajām valsts iestādēm tika apkopota informācija par tās kompetencē esošiem fiskālajiem riskiem, un balstoties uz to tika izstrādāta fiskālo risku deklarācija, kurā ir noteikts fiskālās nodrošinājuma rezerves apjoms 2017.gadam 0,1% no IKP apmērā. </w:t>
      </w:r>
      <w:r w:rsidR="009720A1">
        <w:rPr>
          <w:rFonts w:ascii="Times New Roman" w:eastAsia="Times New Roman" w:hAnsi="Times New Roman" w:cs="Times New Roman"/>
          <w:color w:val="000000"/>
          <w:sz w:val="24"/>
          <w:szCs w:val="20"/>
        </w:rPr>
        <w:t xml:space="preserve">Jāatzīmē, ka </w:t>
      </w:r>
      <w:r w:rsidRPr="003666E9">
        <w:rPr>
          <w:rFonts w:ascii="Times New Roman" w:eastAsia="Times New Roman" w:hAnsi="Times New Roman" w:cs="Times New Roman"/>
          <w:color w:val="000000"/>
          <w:sz w:val="24"/>
          <w:szCs w:val="24"/>
        </w:rPr>
        <w:t xml:space="preserve">Ietvara likuma projektam 2015., 2016. un 2017.gadam tika pievienota </w:t>
      </w:r>
      <w:r w:rsidR="009720A1">
        <w:rPr>
          <w:rFonts w:ascii="Times New Roman" w:eastAsia="Times New Roman" w:hAnsi="Times New Roman" w:cs="Times New Roman"/>
          <w:color w:val="000000"/>
          <w:sz w:val="24"/>
          <w:szCs w:val="24"/>
        </w:rPr>
        <w:t>F</w:t>
      </w:r>
      <w:r w:rsidRPr="003666E9">
        <w:rPr>
          <w:rFonts w:ascii="Times New Roman" w:eastAsia="Times New Roman" w:hAnsi="Times New Roman" w:cs="Times New Roman"/>
          <w:color w:val="000000"/>
          <w:sz w:val="24"/>
          <w:szCs w:val="24"/>
        </w:rPr>
        <w:t xml:space="preserve">iskālo risku deklarācija, kurā fiskālie riski tika iedalīti kvantificējamos un nekvantificējamos riskos. </w:t>
      </w:r>
    </w:p>
    <w:p w14:paraId="6E2A4A10" w14:textId="1B44EA55" w:rsidR="00A34463" w:rsidRPr="00F51615" w:rsidRDefault="003666E9" w:rsidP="003666E9">
      <w:pPr>
        <w:spacing w:before="120" w:after="120" w:line="240" w:lineRule="auto"/>
        <w:ind w:firstLine="706"/>
        <w:jc w:val="both"/>
        <w:rPr>
          <w:rFonts w:ascii="Times New Roman" w:eastAsiaTheme="majorEastAsia" w:hAnsi="Times New Roman" w:cs="Times New Roman"/>
          <w:b/>
          <w:bCs/>
          <w:smallCaps/>
          <w:color w:val="000000" w:themeColor="text1"/>
          <w:sz w:val="24"/>
          <w:szCs w:val="28"/>
        </w:rPr>
      </w:pPr>
      <w:r w:rsidRPr="003666E9">
        <w:rPr>
          <w:rFonts w:ascii="Times New Roman" w:eastAsia="Times New Roman" w:hAnsi="Times New Roman" w:cs="Times New Roman"/>
          <w:sz w:val="24"/>
          <w:szCs w:val="24"/>
          <w:lang w:eastAsia="x-none"/>
        </w:rPr>
        <w:t>F</w:t>
      </w:r>
      <w:r w:rsidRPr="003666E9">
        <w:rPr>
          <w:rFonts w:ascii="Times New Roman" w:eastAsia="Times New Roman" w:hAnsi="Times New Roman" w:cs="Times New Roman"/>
          <w:sz w:val="24"/>
          <w:szCs w:val="24"/>
          <w:lang w:val="x-none" w:eastAsia="x-none"/>
        </w:rPr>
        <w:t xml:space="preserve">iskālie riski </w:t>
      </w:r>
      <w:r w:rsidRPr="003666E9">
        <w:rPr>
          <w:rFonts w:ascii="Times New Roman" w:eastAsia="Times New Roman" w:hAnsi="Times New Roman" w:cs="Times New Roman"/>
          <w:sz w:val="24"/>
          <w:szCs w:val="24"/>
          <w:lang w:eastAsia="x-none"/>
        </w:rPr>
        <w:t>tiek apkopoti</w:t>
      </w:r>
      <w:r w:rsidRPr="003666E9">
        <w:rPr>
          <w:rFonts w:ascii="Times New Roman" w:eastAsia="Times New Roman" w:hAnsi="Times New Roman" w:cs="Times New Roman"/>
          <w:sz w:val="24"/>
          <w:szCs w:val="24"/>
          <w:lang w:val="x-none" w:eastAsia="x-none"/>
        </w:rPr>
        <w:t xml:space="preserve"> fiskālo risku reģistrā, kas ir viens no fiskālo risku vispārējās vadības galvenajiem instrumentiem, kurā ikgadēji tiek atjaunota informācija</w:t>
      </w:r>
      <w:r w:rsidRPr="003666E9">
        <w:rPr>
          <w:rFonts w:ascii="Times New Roman" w:eastAsia="Times New Roman" w:hAnsi="Times New Roman" w:cs="Times New Roman"/>
          <w:sz w:val="24"/>
          <w:szCs w:val="24"/>
          <w:lang w:eastAsia="x-none"/>
        </w:rPr>
        <w:t>. Sākot ar 2015.gadu centrālās valsts iestādes katru gadu iesniedz FM fiskālo</w:t>
      </w:r>
      <w:r w:rsidR="009720A1">
        <w:rPr>
          <w:rFonts w:ascii="Times New Roman" w:eastAsia="Times New Roman" w:hAnsi="Times New Roman" w:cs="Times New Roman"/>
          <w:sz w:val="24"/>
          <w:szCs w:val="24"/>
          <w:lang w:eastAsia="x-none"/>
        </w:rPr>
        <w:t xml:space="preserve"> risku vadības ziņojumus par to</w:t>
      </w:r>
      <w:r w:rsidRPr="003666E9">
        <w:rPr>
          <w:rFonts w:ascii="Times New Roman" w:eastAsia="Times New Roman" w:hAnsi="Times New Roman" w:cs="Times New Roman"/>
          <w:sz w:val="24"/>
          <w:szCs w:val="24"/>
          <w:lang w:eastAsia="x-none"/>
        </w:rPr>
        <w:t xml:space="preserve"> </w:t>
      </w:r>
      <w:r w:rsidR="009720A1">
        <w:rPr>
          <w:rFonts w:ascii="Times New Roman" w:eastAsia="Times New Roman" w:hAnsi="Times New Roman" w:cs="Times New Roman"/>
          <w:sz w:val="24"/>
          <w:szCs w:val="24"/>
          <w:lang w:eastAsia="x-none"/>
        </w:rPr>
        <w:t>uzraudzībā esošajiem</w:t>
      </w:r>
      <w:r w:rsidRPr="003666E9">
        <w:rPr>
          <w:rFonts w:ascii="Times New Roman" w:eastAsia="Times New Roman" w:hAnsi="Times New Roman" w:cs="Times New Roman"/>
          <w:sz w:val="24"/>
          <w:szCs w:val="24"/>
          <w:lang w:eastAsia="x-none"/>
        </w:rPr>
        <w:t xml:space="preserve"> fiskālajiem riskiem.</w:t>
      </w:r>
    </w:p>
    <w:p w14:paraId="67682D7D" w14:textId="77777777" w:rsidR="00A34463" w:rsidRPr="00F51615" w:rsidRDefault="00A34463" w:rsidP="001F01DA">
      <w:pPr>
        <w:pStyle w:val="Heading2"/>
        <w:numPr>
          <w:ilvl w:val="1"/>
          <w:numId w:val="1"/>
        </w:numPr>
        <w:spacing w:before="240" w:after="120"/>
        <w:ind w:left="709"/>
        <w:rPr>
          <w:rFonts w:ascii="Times New Roman" w:hAnsi="Times New Roman" w:cs="Times New Roman"/>
          <w:sz w:val="24"/>
        </w:rPr>
      </w:pPr>
      <w:bookmarkStart w:id="23" w:name="_Toc416279084"/>
      <w:r w:rsidRPr="00F51615">
        <w:rPr>
          <w:rFonts w:ascii="Times New Roman" w:hAnsi="Times New Roman" w:cs="Times New Roman"/>
          <w:sz w:val="24"/>
        </w:rPr>
        <w:t>Vidēja termiņa budžeta plānošana</w:t>
      </w:r>
      <w:bookmarkEnd w:id="23"/>
    </w:p>
    <w:p w14:paraId="55807E97" w14:textId="77777777" w:rsidR="000B2F72" w:rsidRPr="000B2F72" w:rsidRDefault="000B2F72" w:rsidP="000B2F72">
      <w:pPr>
        <w:pStyle w:val="Default"/>
        <w:spacing w:after="60"/>
        <w:ind w:firstLine="720"/>
        <w:jc w:val="both"/>
        <w:rPr>
          <w:szCs w:val="23"/>
        </w:rPr>
      </w:pPr>
      <w:r w:rsidRPr="000B2F72">
        <w:rPr>
          <w:szCs w:val="23"/>
        </w:rPr>
        <w:t>Atbilstoši LBFV vidēja termiņa valsts budžeta plānošana — process, kurā tiek noteikti pieejamie resursi vidējam termiņam un nodrošināta šo resursu izlietošana atbilstoši valdības noteiktajām prioritātēm. Vidējs termiņš — triju gadu periods, ko veido saimnieciskais gads, kuram plāno valsts budžetu, un tam sekojošie divi saimnieciskie gadi.</w:t>
      </w:r>
    </w:p>
    <w:p w14:paraId="3D8545CA" w14:textId="48AE26EE" w:rsidR="000B2F72" w:rsidRPr="000B2F72" w:rsidRDefault="000B2F72" w:rsidP="000B2F72">
      <w:pPr>
        <w:pStyle w:val="Default"/>
        <w:spacing w:after="60"/>
        <w:ind w:firstLine="720"/>
        <w:jc w:val="both"/>
        <w:rPr>
          <w:szCs w:val="23"/>
        </w:rPr>
      </w:pPr>
      <w:r w:rsidRPr="000B2F72">
        <w:rPr>
          <w:szCs w:val="23"/>
        </w:rPr>
        <w:t xml:space="preserve">Sākot ar 2007.gadu valstī tiek sagatavots </w:t>
      </w:r>
      <w:r w:rsidR="00E42D7B">
        <w:rPr>
          <w:szCs w:val="23"/>
        </w:rPr>
        <w:t>Ietvars</w:t>
      </w:r>
      <w:r w:rsidRPr="000B2F72">
        <w:rPr>
          <w:szCs w:val="23"/>
        </w:rPr>
        <w:t xml:space="preserve"> nākamajiem trijiem saimnieciskajiem gadiem, iekļaujot tajā vidēja termiņa valsts makroekonomiskās situācijas analīzi, valdības fiskālās politikas mērķus vidējam termiņam, valsts budžeta ieņēmumu prognozes un maksimāli pieļaujamo valsts budžeta kopējo izdevumu apjomu katrai ministrijai un citām centrālajām valsts iestādēm vidējam</w:t>
      </w:r>
      <w:r w:rsidR="006042AA">
        <w:rPr>
          <w:szCs w:val="23"/>
        </w:rPr>
        <w:t xml:space="preserve"> termiņam. Ņemot vērā, ka</w:t>
      </w:r>
      <w:r w:rsidRPr="000B2F72">
        <w:rPr>
          <w:szCs w:val="23"/>
        </w:rPr>
        <w:t xml:space="preserve"> Ietvaram nebija juridiski saistošs raksturs un tas tikai indikatīvi norādīja maksimāli pieļaujamo valsts budžeta kopējo izdevumu apjomu vidējam termiņam, radās nepieciešamība nostiprināt vidējā termiņa budžeta plānošanas sistēmu. Līdz ar to tika veikti attiecīgi grozījumi LBFV un, sākot ar 2012.gada 1.janvāri, Ietvaru, ko kopš 2007.gada tika apstiprinājis MK, sāka izstrādāt likuma formā kā </w:t>
      </w:r>
      <w:r w:rsidR="00716665">
        <w:rPr>
          <w:szCs w:val="23"/>
        </w:rPr>
        <w:t>Ietvara likumu</w:t>
      </w:r>
      <w:r w:rsidRPr="000B2F72">
        <w:rPr>
          <w:szCs w:val="23"/>
        </w:rPr>
        <w:t>, kuru apstiprina Saeima. Tādējādi Ietvara likumā iekļautajiem sasniedzamajiem finanšu rādītājiem ir juridiski saistošs spēks un uz tiem ir jābalstās gadskārtējā valsts budžeta likuma izstrādāšanā, kā arī turpmāko Ietvara likumu izstrādāšanā.</w:t>
      </w:r>
    </w:p>
    <w:p w14:paraId="3CD3358B" w14:textId="77777777" w:rsidR="000B2F72" w:rsidRPr="000B2F72" w:rsidRDefault="000B2F72" w:rsidP="000B2F72">
      <w:pPr>
        <w:pStyle w:val="Default"/>
        <w:spacing w:after="60"/>
        <w:ind w:firstLine="720"/>
        <w:jc w:val="both"/>
        <w:rPr>
          <w:szCs w:val="23"/>
        </w:rPr>
      </w:pPr>
      <w:r w:rsidRPr="000B2F72">
        <w:rPr>
          <w:szCs w:val="23"/>
        </w:rPr>
        <w:t xml:space="preserve"> Ietvara likumu izstrādā katru gadu, nākamo triju gadu periodam, pie tam katra nākamā Ietvara likuma perioda pirmajam un otrajam gadam tiek izmantoti iepriekšējā Ietvara likumā noteiktie rādītāji, kas precizēti atbilstoši normatīvajos aktos noteiktajiem gadījumiem, savukārt trešajā gadā plānotie rādītāji ir jauni. Turklāt Ietvara likums tiek sasaistīts ar attīstības plānošanas dokumentiem, nodrošinot pieejamo resursu sasaisti ar valdības politikas prioritātēm vidējā termiņā un tas pakļaujas FDL noteiktajiem fiskālajiem nosacījumiem, nodrošinot pārredzamu un atbildīgu fiskālo politiku. Tādējādi Ietvara likums ir galvenais instruments fiskālās disciplīnas ievērošanā.</w:t>
      </w:r>
    </w:p>
    <w:p w14:paraId="0DB9E333" w14:textId="77777777" w:rsidR="000B2F72" w:rsidRPr="000B2F72" w:rsidRDefault="000B2F72" w:rsidP="000B2F72">
      <w:pPr>
        <w:pStyle w:val="Default"/>
        <w:spacing w:after="60"/>
        <w:ind w:firstLine="720"/>
        <w:jc w:val="both"/>
        <w:rPr>
          <w:szCs w:val="23"/>
        </w:rPr>
      </w:pPr>
      <w:r w:rsidRPr="000B2F72">
        <w:rPr>
          <w:szCs w:val="23"/>
        </w:rPr>
        <w:t xml:space="preserve"> Ietvara likuma darbības perioda pirmais gads tiek detalizēti izvērsts gadskārtējā valsts budžeta likumā. Ietvara likumā katram likuma perioda gadam tiek norādīti vidēja termiņa budžeta mērķi un Nacionālajā attīstības plānā noteiktie prioritārie attīstības virzieni, valdības fiskālās politikas mērķu formulējums, maksimāli pieļaujamais valsts budžeta izdevumu kopapjoms (arī izdevumu kopapjoms katram budžeta resoram), iekšzemes kopprodukta prognozes, valsts budžeta ieņēmumu prognozes, valsts budžeta finansiālās bilances apjoms (maksimālais deficīta līmenis un vai minimālais pārpalikuma līmenis). Pirmais Saeimas apstiprinātais Ietvara likums tika izstrādāts 2013. – 2015.gadu periodam, savukārt paskaidrojumus vidēja termiņa Ietvara likumam sāka pievienot, gatavojot likumprojektu „Par vidēja termiņa budžeta ietvaru 2014., 2015. un 2016.gadam”. Turklāt atbilstoši FDL nosacījumiem vienlaikus ar likumprojektu “Par vidēja termiņa budžeta ietvaru 2015., 2016., un 2017.gadam” tika pirmo reizi izstrādāta Fiskālo risku deklarācija, kuras mērķis ir nodrošināt fiskālo </w:t>
      </w:r>
      <w:r w:rsidR="006042AA">
        <w:rPr>
          <w:szCs w:val="23"/>
        </w:rPr>
        <w:t xml:space="preserve">risku vispārēju vadību, kā arī </w:t>
      </w:r>
      <w:r w:rsidRPr="000B2F72">
        <w:rPr>
          <w:szCs w:val="23"/>
        </w:rPr>
        <w:t xml:space="preserve">fiskālo rādītāju stabilitāti vidējā termiņā. </w:t>
      </w:r>
    </w:p>
    <w:p w14:paraId="2F4DDCDE" w14:textId="77777777" w:rsidR="000B2F72" w:rsidRPr="000B2F72" w:rsidRDefault="000B2F72" w:rsidP="000B2F72">
      <w:pPr>
        <w:pStyle w:val="Default"/>
        <w:spacing w:after="60"/>
        <w:ind w:firstLine="720"/>
        <w:jc w:val="both"/>
        <w:rPr>
          <w:szCs w:val="23"/>
        </w:rPr>
      </w:pPr>
      <w:r w:rsidRPr="000B2F72">
        <w:rPr>
          <w:szCs w:val="23"/>
        </w:rPr>
        <w:t>Saskaņā ar normatīvajos aktos noteiktajiem termiņiem Ietvara likumprojektu 2014.-2016.gadu periodam un likumprojektu „Par valsts budžetu 2014.gadam” Saeima aps</w:t>
      </w:r>
      <w:r w:rsidR="006042AA">
        <w:rPr>
          <w:szCs w:val="23"/>
        </w:rPr>
        <w:t>tiprināja 2013.gada 7.novembrī,</w:t>
      </w:r>
      <w:r w:rsidRPr="000B2F72">
        <w:rPr>
          <w:szCs w:val="23"/>
        </w:rPr>
        <w:t xml:space="preserve"> Ietvara likumprojektu 2015.-2017.gadu periodam un likumprojektu „Par valsts budžetu 2015.gadam” Saeima apstiprināja 2014.gada 17.decembrī.</w:t>
      </w:r>
    </w:p>
    <w:p w14:paraId="591EF31C" w14:textId="2B94EEEB" w:rsidR="00A34463" w:rsidRDefault="000B2F72" w:rsidP="005F6C02">
      <w:pPr>
        <w:pStyle w:val="Default"/>
        <w:spacing w:after="60"/>
        <w:ind w:firstLine="720"/>
        <w:jc w:val="both"/>
        <w:rPr>
          <w:szCs w:val="23"/>
        </w:rPr>
      </w:pPr>
      <w:r w:rsidRPr="000B2F72">
        <w:rPr>
          <w:szCs w:val="23"/>
        </w:rPr>
        <w:t xml:space="preserve">Attiecībā uz vidēja termiņa mērķiem un iniciatīvām LBFV ir noteikts, ka ministrijas un citas centrālās valsts iestādes sagatavo priekšlikumus </w:t>
      </w:r>
      <w:r w:rsidR="00716665">
        <w:rPr>
          <w:szCs w:val="23"/>
        </w:rPr>
        <w:t>JPI</w:t>
      </w:r>
      <w:r w:rsidRPr="000B2F72">
        <w:rPr>
          <w:szCs w:val="23"/>
        </w:rPr>
        <w:t xml:space="preserve">, ja attiecīgajos nākamajos saimnieciskajos gados atbilstoši aktuālākajām makroekonomiskās attīstības prognozēm būs pieejami līdzekļi </w:t>
      </w:r>
      <w:r w:rsidR="00716665">
        <w:rPr>
          <w:szCs w:val="23"/>
        </w:rPr>
        <w:t>JPI</w:t>
      </w:r>
      <w:r w:rsidRPr="000B2F72">
        <w:rPr>
          <w:szCs w:val="23"/>
        </w:rPr>
        <w:t xml:space="preserve"> finansēšanai. Priekšlikumus JPI iesniedz vidēja termiņa budžeta ietvara likuma projekta un gadskārtējā valsts budžeta likuma projekta izstrādes un iesniegšanas grafikā noteiktajā termiņā. Priekšlikumus JPI gatavo, pamatojoties uz Nacionālajā attīstības plānā, Valsts aizsardzības koncepcijā un citos attīstības plānošanas dokumentos noteiktajām prioritātēm un mērķiem, tostarp ņemot vērā nepieciešamību veikt budžeta iestāžu kapacitātes (administratīvās spējas) stiprināšanas pasākumus. Tādējādi tiek nodrošināta valstī noteikto prioritāšu sasaiste ar valsts budžetā pieejamajiem resursiem vidējam termiņam.</w:t>
      </w:r>
    </w:p>
    <w:p w14:paraId="2708C43E" w14:textId="77777777" w:rsidR="001F01DA" w:rsidRPr="00F51615" w:rsidRDefault="001F01DA" w:rsidP="005F6C02">
      <w:pPr>
        <w:pStyle w:val="Default"/>
        <w:spacing w:after="60"/>
        <w:ind w:firstLine="720"/>
        <w:jc w:val="both"/>
        <w:rPr>
          <w:rFonts w:eastAsiaTheme="majorEastAsia"/>
          <w:b/>
          <w:bCs/>
          <w:smallCaps/>
          <w:color w:val="000000" w:themeColor="text1"/>
          <w:szCs w:val="28"/>
        </w:rPr>
      </w:pPr>
    </w:p>
    <w:p w14:paraId="1361576F" w14:textId="77777777" w:rsidR="00A34463" w:rsidRDefault="00A34463" w:rsidP="001F01DA">
      <w:pPr>
        <w:pStyle w:val="Heading2"/>
        <w:numPr>
          <w:ilvl w:val="1"/>
          <w:numId w:val="1"/>
        </w:numPr>
        <w:spacing w:before="240" w:after="120"/>
        <w:ind w:left="709"/>
        <w:rPr>
          <w:rFonts w:ascii="Times New Roman" w:hAnsi="Times New Roman" w:cs="Times New Roman"/>
          <w:sz w:val="24"/>
        </w:rPr>
      </w:pPr>
      <w:bookmarkStart w:id="24" w:name="_Toc416279085"/>
      <w:r w:rsidRPr="00F51615">
        <w:rPr>
          <w:rFonts w:ascii="Times New Roman" w:hAnsi="Times New Roman" w:cs="Times New Roman"/>
          <w:sz w:val="24"/>
        </w:rPr>
        <w:t>Budžeta procedūras, t.sk. valsts finanšu statistikas pārvalde</w:t>
      </w:r>
      <w:bookmarkEnd w:id="24"/>
    </w:p>
    <w:p w14:paraId="18640422" w14:textId="77777777" w:rsidR="00551458" w:rsidRDefault="00551458" w:rsidP="001F01DA">
      <w:pPr>
        <w:pStyle w:val="Heading3"/>
        <w:numPr>
          <w:ilvl w:val="2"/>
          <w:numId w:val="1"/>
        </w:numPr>
        <w:spacing w:before="240" w:after="120" w:line="240" w:lineRule="auto"/>
        <w:ind w:left="1134" w:hanging="425"/>
        <w:rPr>
          <w:rFonts w:ascii="Times New Roman" w:hAnsi="Times New Roman" w:cs="Times New Roman"/>
          <w:sz w:val="24"/>
          <w:szCs w:val="24"/>
        </w:rPr>
      </w:pPr>
      <w:bookmarkStart w:id="25" w:name="_Toc416279086"/>
      <w:r w:rsidRPr="00551458">
        <w:rPr>
          <w:rFonts w:ascii="Times New Roman" w:hAnsi="Times New Roman" w:cs="Times New Roman"/>
          <w:sz w:val="24"/>
          <w:szCs w:val="24"/>
        </w:rPr>
        <w:t>Budžeta procedūras</w:t>
      </w:r>
      <w:bookmarkEnd w:id="25"/>
    </w:p>
    <w:p w14:paraId="11FDAEA0" w14:textId="77777777" w:rsidR="00551458" w:rsidRPr="00551458" w:rsidRDefault="00551458" w:rsidP="00551458">
      <w:pPr>
        <w:pStyle w:val="Default"/>
        <w:spacing w:after="60"/>
        <w:ind w:firstLine="720"/>
        <w:jc w:val="both"/>
        <w:rPr>
          <w:szCs w:val="23"/>
        </w:rPr>
      </w:pPr>
      <w:r w:rsidRPr="00551458">
        <w:rPr>
          <w:szCs w:val="23"/>
        </w:rPr>
        <w:t xml:space="preserve">Latvijas Republikas Satversme nosaka, ka Saeima ik gadu pirms saimnieciskā gada sākšanās lemj par valsts ienākumu un izdevumu budžetu, kura projektu tai iesniedz MK. </w:t>
      </w:r>
      <w:r w:rsidRPr="00551458">
        <w:rPr>
          <w:b/>
          <w:bCs/>
          <w:szCs w:val="23"/>
        </w:rPr>
        <w:t xml:space="preserve">Gadskārtējo valsts budžeta likumu apstiprina Saeima. </w:t>
      </w:r>
    </w:p>
    <w:p w14:paraId="4C20EBEB" w14:textId="77777777" w:rsidR="00551458" w:rsidRPr="00551458" w:rsidRDefault="00551458" w:rsidP="00551458">
      <w:pPr>
        <w:pStyle w:val="Default"/>
        <w:spacing w:after="60"/>
        <w:ind w:firstLine="720"/>
        <w:jc w:val="both"/>
        <w:rPr>
          <w:szCs w:val="23"/>
        </w:rPr>
      </w:pPr>
      <w:r w:rsidRPr="00551458">
        <w:rPr>
          <w:szCs w:val="23"/>
        </w:rPr>
        <w:t xml:space="preserve">Valsts budžeta līdzekļu izdevumu plānošanā sākotnēji tiek aprēķināti un saskaņoti bāzes izdevumi. Bāzes izdevumu aprēķinu un to sasaistes principus ar Ietvara likumu nosaka MK 2012.gada 11.decembra noteikumi Nr.867 „Kārtība, kādā nosakāms maksimāli pieļaujamais valsts budžeta izdevumu kopapjoms un maksimāli pieļaujamais valsts budžeta izdevumu kopējais apjoms katrai ministrijai un citām centrālajām valsts iestādēm vidējam termiņam”. Tādējādi tiek noteikts nepieciešamais izdevumu apjoms, lai nodrošinātu valsts funkciju izpildi nemainīgā līmenī. </w:t>
      </w:r>
    </w:p>
    <w:p w14:paraId="26076E44" w14:textId="77777777" w:rsidR="00551458" w:rsidRPr="00551458" w:rsidRDefault="00551458" w:rsidP="00551458">
      <w:pPr>
        <w:pStyle w:val="Default"/>
        <w:spacing w:after="60"/>
        <w:ind w:firstLine="720"/>
        <w:jc w:val="both"/>
        <w:rPr>
          <w:szCs w:val="23"/>
        </w:rPr>
      </w:pPr>
      <w:r w:rsidRPr="00551458">
        <w:rPr>
          <w:szCs w:val="23"/>
        </w:rPr>
        <w:t xml:space="preserve">Aprēķinot maksimāli pieļaujamo valsts budžeta izdevumu kopapjomu, kas sastāv no valsts pamatbudžeta un valsts speciālā budžeta bāzes izdevumiem un valsts pamatbudžeta un valsts speciālā budžeta attīstības izdevumiem, ja MK ir pieņemts lēmums par JPI, FM pamatojas uz Ietvara likumu, prognozēm par makroekonomisko attīstību, kā arī ievēro valstī noteiktos fiskālos nosacījumus. </w:t>
      </w:r>
    </w:p>
    <w:p w14:paraId="061DDCA8" w14:textId="77777777" w:rsidR="00551458" w:rsidRPr="00551458" w:rsidRDefault="00551458" w:rsidP="00551458">
      <w:pPr>
        <w:pStyle w:val="Default"/>
        <w:spacing w:after="60"/>
        <w:ind w:firstLine="720"/>
        <w:jc w:val="both"/>
        <w:rPr>
          <w:szCs w:val="23"/>
        </w:rPr>
      </w:pPr>
      <w:r w:rsidRPr="00551458">
        <w:rPr>
          <w:szCs w:val="23"/>
        </w:rPr>
        <w:t xml:space="preserve">Pamatojoties uz MK apstiprināto maksimāli pieļaujamo izdevumu apjomu katram budžeta resoram, ministrijas un citas centrālās valsts iestādes izstrādā un iesniedz FM budžeta pieprasījumus saskaņā ar MK 2012.gada 31.jūlija noteikumiem Nr.523 „Noteikumi par budžeta pieprasījumu izstrādāšanas un iesniegšanas pamatprincipiem”. Noteikumi nosaka vienotus budžeta programmu veidošanas principus, valsts pamatbudžeta un valsts speciālā budžeta pieprasījumu sagatavošanas pamatprincipus, kā arī budžeta pieprasījuma sastāvu. </w:t>
      </w:r>
    </w:p>
    <w:p w14:paraId="42A6C41D" w14:textId="77777777" w:rsidR="00551458" w:rsidRPr="00551458" w:rsidRDefault="00551458" w:rsidP="00551458">
      <w:pPr>
        <w:pStyle w:val="Default"/>
        <w:spacing w:after="60"/>
        <w:ind w:firstLine="720"/>
        <w:jc w:val="both"/>
        <w:rPr>
          <w:szCs w:val="23"/>
        </w:rPr>
      </w:pPr>
      <w:r w:rsidRPr="00551458">
        <w:rPr>
          <w:szCs w:val="23"/>
        </w:rPr>
        <w:t>Lai nodrošinātu sabiedrībai uzskatāmu priekšstatu par to, kādi resursi ir iesaistīti valsts pamatfunkciju īstenošanā, un kādi – ES un citu ārvalstu politiku instrumentu pasākumu ieviešanā, budžets tiek sagatavots šādās sadaļās:</w:t>
      </w:r>
    </w:p>
    <w:p w14:paraId="12BE7763" w14:textId="77777777" w:rsidR="00551458" w:rsidRPr="00551458" w:rsidRDefault="00551458" w:rsidP="00551458">
      <w:pPr>
        <w:pStyle w:val="Default"/>
        <w:numPr>
          <w:ilvl w:val="0"/>
          <w:numId w:val="6"/>
        </w:numPr>
        <w:spacing w:after="60"/>
        <w:jc w:val="both"/>
        <w:rPr>
          <w:color w:val="auto"/>
          <w:szCs w:val="23"/>
        </w:rPr>
      </w:pPr>
      <w:r w:rsidRPr="00551458">
        <w:rPr>
          <w:color w:val="auto"/>
          <w:szCs w:val="23"/>
        </w:rPr>
        <w:t>Valsts pamatfunkciju īstenošana (izņemot ES politiku instrumentu un pārējās ārvalstu finanšu palīdzības līdzfinansētos un finansētos projektus un pasākumus);</w:t>
      </w:r>
    </w:p>
    <w:p w14:paraId="2FF6C531" w14:textId="77777777" w:rsidR="00551458" w:rsidRPr="00551458" w:rsidRDefault="00551458" w:rsidP="00551458">
      <w:pPr>
        <w:pStyle w:val="Default"/>
        <w:numPr>
          <w:ilvl w:val="0"/>
          <w:numId w:val="6"/>
        </w:numPr>
        <w:spacing w:after="60"/>
        <w:jc w:val="both"/>
        <w:rPr>
          <w:color w:val="auto"/>
          <w:szCs w:val="23"/>
        </w:rPr>
      </w:pPr>
      <w:r w:rsidRPr="00551458">
        <w:rPr>
          <w:color w:val="auto"/>
          <w:szCs w:val="23"/>
        </w:rPr>
        <w:t xml:space="preserve">ES politiku instrumentu un pārējās ārvalstu finanšu palīdzības līdzfinansēto un finansēto projektu un pasākumu īstenošana. </w:t>
      </w:r>
    </w:p>
    <w:p w14:paraId="28F7B36E" w14:textId="77777777" w:rsidR="00551458" w:rsidRPr="00551458" w:rsidRDefault="00551458" w:rsidP="00551458">
      <w:pPr>
        <w:pStyle w:val="Default"/>
        <w:spacing w:after="60"/>
        <w:ind w:firstLine="720"/>
        <w:jc w:val="both"/>
        <w:rPr>
          <w:szCs w:val="23"/>
        </w:rPr>
      </w:pPr>
      <w:r w:rsidRPr="00551458">
        <w:rPr>
          <w:szCs w:val="23"/>
        </w:rPr>
        <w:t xml:space="preserve">Valsts budžeta pieprasījumus ministrijas un citas centrālās valsts iestādes izstrādā un iesniedz FM saskaņā ar Ietvara likuma projekta un gadskārtējā valsts budžeta likuma projekta izstrādes un iesniegšanas grafiku, kuru atbilstoši LBFV finanšu ministrs iesniedz MK. </w:t>
      </w:r>
    </w:p>
    <w:p w14:paraId="41AB5981" w14:textId="77777777" w:rsidR="00551458" w:rsidRPr="00551458" w:rsidRDefault="00551458" w:rsidP="00551458">
      <w:pPr>
        <w:pStyle w:val="Default"/>
        <w:spacing w:after="60"/>
        <w:ind w:firstLine="720"/>
        <w:jc w:val="both"/>
        <w:rPr>
          <w:szCs w:val="23"/>
        </w:rPr>
      </w:pPr>
      <w:r w:rsidRPr="00551458">
        <w:rPr>
          <w:szCs w:val="23"/>
        </w:rPr>
        <w:t>Gadskārtējā valsts budžeta likumprojekta sagatavošanas procesā tiek kompleksi vērtēti un pēc tam atspoguļoti valsts budžeta likumā šādi rādītāji:</w:t>
      </w:r>
    </w:p>
    <w:p w14:paraId="65957BD5" w14:textId="77777777" w:rsidR="00551458" w:rsidRPr="00551458" w:rsidRDefault="00551458" w:rsidP="00551458">
      <w:pPr>
        <w:pStyle w:val="Default"/>
        <w:numPr>
          <w:ilvl w:val="0"/>
          <w:numId w:val="6"/>
        </w:numPr>
        <w:spacing w:after="60"/>
        <w:jc w:val="both"/>
        <w:rPr>
          <w:color w:val="auto"/>
          <w:szCs w:val="23"/>
        </w:rPr>
      </w:pPr>
      <w:r w:rsidRPr="00551458">
        <w:rPr>
          <w:color w:val="auto"/>
          <w:szCs w:val="23"/>
        </w:rPr>
        <w:t>valsts budžeta ieņēmumi sadalījumā pa ieņēmumu veidiem (sadalījumā pa atbildīgajām ministrijām);</w:t>
      </w:r>
    </w:p>
    <w:p w14:paraId="32BC8FA5" w14:textId="77777777" w:rsidR="00551458" w:rsidRPr="00551458" w:rsidRDefault="00551458" w:rsidP="00551458">
      <w:pPr>
        <w:pStyle w:val="Default"/>
        <w:numPr>
          <w:ilvl w:val="0"/>
          <w:numId w:val="6"/>
        </w:numPr>
        <w:spacing w:after="60"/>
        <w:jc w:val="both"/>
        <w:rPr>
          <w:color w:val="auto"/>
          <w:szCs w:val="23"/>
        </w:rPr>
      </w:pPr>
      <w:r w:rsidRPr="00551458">
        <w:rPr>
          <w:color w:val="auto"/>
          <w:szCs w:val="23"/>
        </w:rPr>
        <w:t>valsts budžeta izdevumi sadalījumā pa programmām (apakšprogrammām) un izdevumu veidiem atbilstoši ekonomiskajai būtībai;</w:t>
      </w:r>
    </w:p>
    <w:p w14:paraId="06DF6AB0" w14:textId="77777777" w:rsidR="00551458" w:rsidRPr="00551458" w:rsidRDefault="00551458" w:rsidP="00551458">
      <w:pPr>
        <w:pStyle w:val="Default"/>
        <w:numPr>
          <w:ilvl w:val="0"/>
          <w:numId w:val="6"/>
        </w:numPr>
        <w:spacing w:after="60"/>
        <w:jc w:val="both"/>
        <w:rPr>
          <w:color w:val="auto"/>
          <w:szCs w:val="23"/>
        </w:rPr>
      </w:pPr>
      <w:r w:rsidRPr="00551458">
        <w:rPr>
          <w:color w:val="auto"/>
          <w:szCs w:val="23"/>
        </w:rPr>
        <w:t>valsts budžeta finansiālā bilance;</w:t>
      </w:r>
    </w:p>
    <w:p w14:paraId="440C88D3" w14:textId="77777777" w:rsidR="00551458" w:rsidRPr="00551458" w:rsidRDefault="00551458" w:rsidP="00551458">
      <w:pPr>
        <w:pStyle w:val="Default"/>
        <w:numPr>
          <w:ilvl w:val="0"/>
          <w:numId w:val="6"/>
        </w:numPr>
        <w:spacing w:after="60"/>
        <w:jc w:val="both"/>
        <w:rPr>
          <w:color w:val="auto"/>
          <w:szCs w:val="23"/>
        </w:rPr>
      </w:pPr>
      <w:r w:rsidRPr="00551458">
        <w:rPr>
          <w:color w:val="auto"/>
          <w:szCs w:val="23"/>
        </w:rPr>
        <w:t>maksimālais valsts parāda maksimāli pieļaujamais apjoms saimnieciskā gada beigās;</w:t>
      </w:r>
    </w:p>
    <w:p w14:paraId="2FE9EAE8" w14:textId="77777777" w:rsidR="00551458" w:rsidRPr="00551458" w:rsidRDefault="00551458" w:rsidP="00551458">
      <w:pPr>
        <w:pStyle w:val="Default"/>
        <w:numPr>
          <w:ilvl w:val="0"/>
          <w:numId w:val="6"/>
        </w:numPr>
        <w:spacing w:after="60"/>
        <w:jc w:val="both"/>
        <w:rPr>
          <w:color w:val="auto"/>
          <w:szCs w:val="23"/>
        </w:rPr>
      </w:pPr>
      <w:r w:rsidRPr="00551458">
        <w:rPr>
          <w:color w:val="auto"/>
          <w:szCs w:val="23"/>
        </w:rPr>
        <w:t>valsts vārdā izsniedzamo galvojumu apmērs;</w:t>
      </w:r>
    </w:p>
    <w:p w14:paraId="3BE5A178" w14:textId="77777777" w:rsidR="00551458" w:rsidRPr="00551458" w:rsidRDefault="00551458" w:rsidP="00551458">
      <w:pPr>
        <w:pStyle w:val="Default"/>
        <w:numPr>
          <w:ilvl w:val="0"/>
          <w:numId w:val="6"/>
        </w:numPr>
        <w:spacing w:after="60"/>
        <w:jc w:val="both"/>
        <w:rPr>
          <w:color w:val="auto"/>
          <w:szCs w:val="23"/>
        </w:rPr>
      </w:pPr>
      <w:r w:rsidRPr="00551458">
        <w:rPr>
          <w:color w:val="auto"/>
          <w:szCs w:val="23"/>
        </w:rPr>
        <w:t>valsts budžeta aizdevumu kopējais palielinājums;</w:t>
      </w:r>
    </w:p>
    <w:p w14:paraId="7370549A" w14:textId="77777777" w:rsidR="00551458" w:rsidRPr="00551458" w:rsidRDefault="00551458" w:rsidP="00551458">
      <w:pPr>
        <w:pStyle w:val="Default"/>
        <w:numPr>
          <w:ilvl w:val="0"/>
          <w:numId w:val="6"/>
        </w:numPr>
        <w:spacing w:after="60"/>
        <w:jc w:val="both"/>
        <w:rPr>
          <w:color w:val="auto"/>
          <w:szCs w:val="23"/>
        </w:rPr>
      </w:pPr>
      <w:r w:rsidRPr="00551458">
        <w:rPr>
          <w:color w:val="auto"/>
          <w:szCs w:val="23"/>
        </w:rPr>
        <w:t>valsts budžeta mērķdotāciju apmērs pašvaldībām, kā arī valsts budžeta dotācijas apmērs pašvaldību finanšu izlīdzināšanas fondam;</w:t>
      </w:r>
    </w:p>
    <w:p w14:paraId="376A9A3F" w14:textId="77777777" w:rsidR="00551458" w:rsidRPr="00551458" w:rsidRDefault="00551458" w:rsidP="00551458">
      <w:pPr>
        <w:pStyle w:val="Default"/>
        <w:numPr>
          <w:ilvl w:val="0"/>
          <w:numId w:val="6"/>
        </w:numPr>
        <w:spacing w:after="60"/>
        <w:jc w:val="both"/>
        <w:rPr>
          <w:color w:val="auto"/>
          <w:szCs w:val="23"/>
        </w:rPr>
      </w:pPr>
      <w:r w:rsidRPr="00551458">
        <w:rPr>
          <w:color w:val="auto"/>
          <w:szCs w:val="23"/>
        </w:rPr>
        <w:t>pašvaldību aizņēmumu kopējais palielinājums un pašvaldību sniegto galvojumu kopējais palielinājums;</w:t>
      </w:r>
    </w:p>
    <w:p w14:paraId="0FAC37EF" w14:textId="77777777" w:rsidR="00551458" w:rsidRPr="00551458" w:rsidRDefault="00551458" w:rsidP="00551458">
      <w:pPr>
        <w:pStyle w:val="Default"/>
        <w:numPr>
          <w:ilvl w:val="0"/>
          <w:numId w:val="6"/>
        </w:numPr>
        <w:spacing w:after="60"/>
        <w:jc w:val="both"/>
        <w:rPr>
          <w:color w:val="auto"/>
          <w:szCs w:val="23"/>
        </w:rPr>
      </w:pPr>
      <w:r w:rsidRPr="00551458">
        <w:rPr>
          <w:color w:val="auto"/>
          <w:szCs w:val="23"/>
        </w:rPr>
        <w:t xml:space="preserve">citi nosacījumi, piemēram, valsts fondēto pensiju shēmas iemaksu likme un iemaksu summa. </w:t>
      </w:r>
    </w:p>
    <w:p w14:paraId="5CEA8584" w14:textId="77777777" w:rsidR="00551458" w:rsidRPr="00551458" w:rsidRDefault="00551458" w:rsidP="00551458">
      <w:pPr>
        <w:pStyle w:val="Default"/>
        <w:spacing w:after="60"/>
        <w:ind w:firstLine="720"/>
        <w:jc w:val="both"/>
        <w:rPr>
          <w:color w:val="auto"/>
          <w:szCs w:val="23"/>
        </w:rPr>
      </w:pPr>
      <w:r w:rsidRPr="00551458">
        <w:rPr>
          <w:color w:val="auto"/>
          <w:szCs w:val="23"/>
        </w:rPr>
        <w:t>Gadskārtējā valsts budžeta likumprojekta paskaidrojumos tiek ietverts makroekonomiskās attīstības scenārija apraksts, fiskālais apskats, ieņēmumu prognožu analīze, valsts budžeta izdevumu plānošanas būtiskākie elementi, budžeta programmu paskaidrojumi, valsts budžeta izdevumi funkcionālajā, administratīvajā un ekonomisko kategoriju sadalījumā, kā arī informācija par plānotajiem investīciju projektiem, informācija par valsts finansiālajām saistībām (kopsavilkums), kā arī informācija par budžeta likumprojektu paketes ietvaros veiktajiem grozījumiem normatīvajos aktos. Katrai valsts budžeta likumprojektā ietvertajai pamatbudžeta vai speciālā budžeta programmai (apakšprogrammai) budžeta paskaidrojumi tiek sagatavoti atsevišķā sadaļā, kas satur informāciju par programmas (apakšprogrammas) mērķiem, galvenajām aktivitātēm un institūcijām, kas nodrošinās programmas (apakšprogrammas) izpildi, darbības rezultātiem un to rezultatīvajiem rādītājiem, papildus piešķirto finansējumu JPI realizācijai, finansiāliem rādītājiem un kopējo izdevumu izmaiņām. Tāpat paskaidrojumos ir pieejama arī informācija par vidējo amata vietu skaitu un atlīdzību budžeta resorā.</w:t>
      </w:r>
    </w:p>
    <w:p w14:paraId="2C1113E9" w14:textId="3D5E0C17" w:rsidR="00CD1F9B" w:rsidRPr="004F7910" w:rsidRDefault="00CD1F9B" w:rsidP="00CD1F9B">
      <w:pPr>
        <w:pStyle w:val="Default"/>
        <w:spacing w:after="60"/>
        <w:ind w:firstLine="720"/>
        <w:jc w:val="both"/>
        <w:rPr>
          <w:color w:val="auto"/>
          <w:szCs w:val="23"/>
        </w:rPr>
      </w:pPr>
      <w:r w:rsidRPr="004F7910">
        <w:rPr>
          <w:color w:val="auto"/>
          <w:szCs w:val="23"/>
        </w:rPr>
        <w:t xml:space="preserve">Valsts budžeta likumprojekta izstrādes gaitā notiek </w:t>
      </w:r>
      <w:r w:rsidR="00B36A37">
        <w:rPr>
          <w:color w:val="auto"/>
          <w:szCs w:val="23"/>
        </w:rPr>
        <w:t>LPS</w:t>
      </w:r>
      <w:r w:rsidRPr="004F7910">
        <w:rPr>
          <w:color w:val="auto"/>
          <w:szCs w:val="23"/>
        </w:rPr>
        <w:t xml:space="preserve"> un </w:t>
      </w:r>
      <w:r w:rsidR="00B36A37">
        <w:rPr>
          <w:color w:val="auto"/>
          <w:szCs w:val="23"/>
        </w:rPr>
        <w:t>FM</w:t>
      </w:r>
      <w:r w:rsidRPr="004F7910">
        <w:rPr>
          <w:color w:val="auto"/>
          <w:szCs w:val="23"/>
        </w:rPr>
        <w:t xml:space="preserve"> sarunas, kuru rezultātā tiek sagatavots </w:t>
      </w:r>
      <w:r w:rsidR="00B36A37">
        <w:rPr>
          <w:color w:val="auto"/>
          <w:szCs w:val="23"/>
        </w:rPr>
        <w:t>MK</w:t>
      </w:r>
      <w:r w:rsidRPr="004F7910">
        <w:rPr>
          <w:color w:val="auto"/>
          <w:szCs w:val="23"/>
        </w:rPr>
        <w:t xml:space="preserve"> un </w:t>
      </w:r>
      <w:r w:rsidR="00B36A37">
        <w:rPr>
          <w:color w:val="auto"/>
          <w:szCs w:val="23"/>
        </w:rPr>
        <w:t>LPS</w:t>
      </w:r>
      <w:r w:rsidRPr="004F7910">
        <w:rPr>
          <w:color w:val="auto"/>
          <w:szCs w:val="23"/>
        </w:rPr>
        <w:t xml:space="preserve"> vienošanās un domstarpību protokola projekts. Protokola projektā tiek iekļauti jautājumi par pašvaldību nodokļu ieņēmumiem, valsts budžeta transfertiem pašvaldībām, aizņēmumiem, galvojumiem, ilgtermiņa saistībām, pašvaldību finanšu izlīdzināšanu, kā arī citi ar pašvaldību darbību un finansēm saistīti jautājumi. Protokola projekts tiek iesniegts izskatīšanai paplašinātajā </w:t>
      </w:r>
      <w:r w:rsidR="00B36A37">
        <w:rPr>
          <w:color w:val="auto"/>
          <w:szCs w:val="23"/>
        </w:rPr>
        <w:t>MK</w:t>
      </w:r>
      <w:r w:rsidRPr="004F7910">
        <w:rPr>
          <w:color w:val="auto"/>
          <w:szCs w:val="23"/>
        </w:rPr>
        <w:t xml:space="preserve"> komitejas sēdē. Saskaņā ar likumu “Par pašvaldību budžetiem” protokola projekts jāpievieno gadskārtējā valsts budžeta likumprojektam, </w:t>
      </w:r>
      <w:r w:rsidR="00B36A37">
        <w:rPr>
          <w:color w:val="auto"/>
          <w:szCs w:val="23"/>
        </w:rPr>
        <w:t>MK</w:t>
      </w:r>
      <w:r w:rsidRPr="004F7910">
        <w:rPr>
          <w:color w:val="auto"/>
          <w:szCs w:val="23"/>
        </w:rPr>
        <w:t xml:space="preserve"> to iesniedzot Saeimā. </w:t>
      </w:r>
      <w:r w:rsidR="00B36A37">
        <w:rPr>
          <w:color w:val="auto"/>
          <w:szCs w:val="23"/>
        </w:rPr>
        <w:t>LBFV</w:t>
      </w:r>
      <w:r w:rsidRPr="004F7910">
        <w:rPr>
          <w:color w:val="auto"/>
          <w:szCs w:val="23"/>
        </w:rPr>
        <w:t xml:space="preserve"> paredz rīkot sarunas ar </w:t>
      </w:r>
      <w:r w:rsidR="00B36A37">
        <w:rPr>
          <w:color w:val="auto"/>
          <w:szCs w:val="23"/>
        </w:rPr>
        <w:t>LPS</w:t>
      </w:r>
      <w:r w:rsidRPr="004F7910">
        <w:rPr>
          <w:color w:val="auto"/>
          <w:szCs w:val="23"/>
        </w:rPr>
        <w:t xml:space="preserve"> arī vidēja termiņa budžeta ietvara likumprojekta izstrādes gaitā par pašvaldību intereses </w:t>
      </w:r>
      <w:r w:rsidR="00B36A37">
        <w:rPr>
          <w:color w:val="auto"/>
          <w:szCs w:val="23"/>
        </w:rPr>
        <w:t>saistošiem</w:t>
      </w:r>
      <w:r w:rsidRPr="004F7910">
        <w:rPr>
          <w:color w:val="auto"/>
          <w:szCs w:val="23"/>
        </w:rPr>
        <w:t xml:space="preserve"> jautājumiem, un sarunu rezultātus protokola veidā pievieno likumprojektam, to virzot uz Saeimu.</w:t>
      </w:r>
    </w:p>
    <w:p w14:paraId="2635AE42" w14:textId="77777777" w:rsidR="00551458" w:rsidRPr="00551458" w:rsidRDefault="00551458" w:rsidP="00551458">
      <w:pPr>
        <w:pStyle w:val="Default"/>
        <w:spacing w:after="60"/>
        <w:ind w:firstLine="720"/>
        <w:jc w:val="both"/>
        <w:rPr>
          <w:color w:val="auto"/>
          <w:szCs w:val="23"/>
        </w:rPr>
      </w:pPr>
      <w:r w:rsidRPr="00551458">
        <w:rPr>
          <w:color w:val="auto"/>
          <w:szCs w:val="23"/>
        </w:rPr>
        <w:t xml:space="preserve">Atbilstoši likumam „Par pašvaldību budžetiem”, pašvaldības izstrādā savus budžetus ne vēlāk kā divu mēnešu laikā pēc gadskārtējā valsts budžeta likuma izsludināšanas. </w:t>
      </w:r>
    </w:p>
    <w:p w14:paraId="746AE0EE" w14:textId="77777777" w:rsidR="00551458" w:rsidRPr="00551458" w:rsidRDefault="00551458" w:rsidP="00551458">
      <w:pPr>
        <w:pStyle w:val="Default"/>
        <w:spacing w:after="60"/>
        <w:ind w:firstLine="720"/>
        <w:jc w:val="both"/>
        <w:rPr>
          <w:color w:val="auto"/>
          <w:szCs w:val="23"/>
        </w:rPr>
      </w:pPr>
      <w:r w:rsidRPr="00551458">
        <w:rPr>
          <w:color w:val="auto"/>
          <w:szCs w:val="23"/>
        </w:rPr>
        <w:t xml:space="preserve">Ir pastiprināta neatkarīgo iestāžu (tiesas, Valsts kontrole, Tiesībsargs un citas) loma budžeta procesā. LBFV nosaka, ka MK, sagatavojot Ietvara likuma projektu un gadskārtējā valsts budžeta likuma projektu, ir jāuzklausa neatkarīgo iestāžu viedoklis par attiecīgo iestāžu finansējuma sadaļām, jāpamato MK viedoklis finansējuma samazinājuma gadījumā, kā arī minēto sarunu rezultāti protokola veidā ir jādara zināmi likumdevējam, pievienojot tos attiecīgajiem likumprojektiem. </w:t>
      </w:r>
    </w:p>
    <w:p w14:paraId="43440B30" w14:textId="77777777" w:rsidR="00CD1F9B" w:rsidRPr="004F7910" w:rsidRDefault="00CD1F9B" w:rsidP="00CD1F9B">
      <w:pPr>
        <w:pStyle w:val="Default"/>
        <w:spacing w:after="60"/>
        <w:ind w:firstLine="720"/>
        <w:jc w:val="both"/>
        <w:rPr>
          <w:color w:val="auto"/>
          <w:szCs w:val="23"/>
        </w:rPr>
      </w:pPr>
      <w:r w:rsidRPr="004F7910">
        <w:rPr>
          <w:color w:val="auto"/>
          <w:szCs w:val="23"/>
        </w:rPr>
        <w:t>Ja līdz saimnieciskā gada sākumam pašvaldības budžets nav apstiprināts, pašvaldības izdevumi mēnesī nedrīkst pārsniegt divpadsmito daļu no iepriekšējā gada izdevumiem ar noteikumu, ka salīdzinājumā ar iepriekšējo gadu pašvaldībai nesamazinās izpildāmo funkciju apjoms.</w:t>
      </w:r>
    </w:p>
    <w:p w14:paraId="246E0CAD" w14:textId="77777777" w:rsidR="00551458" w:rsidRDefault="00551458" w:rsidP="00B36A37">
      <w:pPr>
        <w:pStyle w:val="Default"/>
        <w:spacing w:after="60"/>
        <w:ind w:firstLine="720"/>
        <w:jc w:val="both"/>
        <w:rPr>
          <w:color w:val="auto"/>
          <w:szCs w:val="23"/>
        </w:rPr>
      </w:pPr>
      <w:r w:rsidRPr="00551458">
        <w:rPr>
          <w:color w:val="auto"/>
          <w:szCs w:val="23"/>
        </w:rPr>
        <w:t>MK ir tiesības noteikt valsts un pašvaldību budžeta plānošanas un izpildes papildu nosacījumus, lai nodrošinātu makroekonomisko procesu izraisīto paaugstināto fiskālo, ekonomisko un sociālo risku ietekmes mazināšanas un novēršanas pasākumus un nodrošinātu starptautiskajās saistībās noteikto fiskālo kritēriju izpildi.</w:t>
      </w:r>
    </w:p>
    <w:p w14:paraId="2CE91354" w14:textId="77777777" w:rsidR="0057754A" w:rsidRPr="00551458" w:rsidRDefault="0057754A" w:rsidP="00B36A37">
      <w:pPr>
        <w:pStyle w:val="Default"/>
        <w:spacing w:after="60"/>
        <w:ind w:firstLine="720"/>
        <w:jc w:val="both"/>
      </w:pPr>
    </w:p>
    <w:p w14:paraId="04974620" w14:textId="77777777" w:rsidR="00A34463" w:rsidRDefault="00551458" w:rsidP="001F01DA">
      <w:pPr>
        <w:pStyle w:val="Heading3"/>
        <w:numPr>
          <w:ilvl w:val="2"/>
          <w:numId w:val="1"/>
        </w:numPr>
        <w:spacing w:before="240" w:after="120" w:line="240" w:lineRule="auto"/>
        <w:ind w:left="1134" w:hanging="425"/>
        <w:rPr>
          <w:rFonts w:ascii="Times New Roman" w:hAnsi="Times New Roman" w:cs="Times New Roman"/>
          <w:sz w:val="24"/>
          <w:szCs w:val="24"/>
        </w:rPr>
      </w:pPr>
      <w:bookmarkStart w:id="26" w:name="_Toc416279087"/>
      <w:r w:rsidRPr="00551458">
        <w:rPr>
          <w:rFonts w:ascii="Times New Roman" w:hAnsi="Times New Roman" w:cs="Times New Roman"/>
          <w:sz w:val="24"/>
          <w:szCs w:val="24"/>
        </w:rPr>
        <w:t>Valsts finanšu statistikas pārvaldība</w:t>
      </w:r>
      <w:bookmarkEnd w:id="26"/>
    </w:p>
    <w:p w14:paraId="0CC82F79" w14:textId="79704E42" w:rsidR="00CD1F9B" w:rsidRPr="00CD1F9B" w:rsidRDefault="00B36A37" w:rsidP="00CD1F9B">
      <w:pPr>
        <w:pStyle w:val="Default"/>
        <w:spacing w:after="60"/>
        <w:ind w:firstLine="720"/>
        <w:jc w:val="both"/>
        <w:rPr>
          <w:color w:val="auto"/>
          <w:szCs w:val="23"/>
        </w:rPr>
      </w:pPr>
      <w:r>
        <w:rPr>
          <w:color w:val="auto"/>
          <w:szCs w:val="23"/>
        </w:rPr>
        <w:t>CSP</w:t>
      </w:r>
      <w:r w:rsidR="00CD1F9B" w:rsidRPr="00CD1F9B">
        <w:rPr>
          <w:color w:val="auto"/>
          <w:szCs w:val="23"/>
        </w:rPr>
        <w:t xml:space="preserve"> apkopo valsts finanšu statistiku, kas aprēķināta atbilstoši EKS 2010 prasībām.</w:t>
      </w:r>
    </w:p>
    <w:p w14:paraId="76D1F9BD" w14:textId="77777777" w:rsidR="00CD1F9B" w:rsidRPr="00CD1F9B" w:rsidRDefault="00CD1F9B" w:rsidP="00CD1F9B">
      <w:pPr>
        <w:pStyle w:val="Default"/>
        <w:spacing w:after="60"/>
        <w:ind w:firstLine="720"/>
        <w:jc w:val="both"/>
        <w:rPr>
          <w:color w:val="auto"/>
          <w:szCs w:val="23"/>
        </w:rPr>
      </w:pPr>
      <w:r w:rsidRPr="00CD1F9B">
        <w:rPr>
          <w:color w:val="auto"/>
          <w:szCs w:val="23"/>
        </w:rPr>
        <w:t>Vispārējās valdības sektora (S.13) ietvars Latvijā atbilstoši EKS 2010 metodoloģijai sastāv no trim apakšsektoriem: centrālās valdības apakšsektora (S.1311), pašvaldību apakšsektora (S.1313) un sociālās apdrošināšanas apakšsektora (S.1314).</w:t>
      </w:r>
    </w:p>
    <w:p w14:paraId="7066BE1F" w14:textId="77777777" w:rsidR="00CD1F9B" w:rsidRPr="00CD1F9B" w:rsidRDefault="00CD1F9B" w:rsidP="00CD1F9B">
      <w:pPr>
        <w:pStyle w:val="Default"/>
        <w:spacing w:after="60"/>
        <w:ind w:firstLine="720"/>
        <w:jc w:val="both"/>
        <w:rPr>
          <w:color w:val="auto"/>
          <w:szCs w:val="23"/>
        </w:rPr>
      </w:pPr>
      <w:r w:rsidRPr="00CD1F9B">
        <w:rPr>
          <w:color w:val="auto"/>
          <w:szCs w:val="23"/>
        </w:rPr>
        <w:t xml:space="preserve">Vispārējās valdības sektorā uz 2014.gada 31.decembri bija 1130 neatkarīgas budžeta iestādes, no tām centrālās valdības apakšsektorā - 255 iestādes, pašvaldību apakšsektorā – 874 iestādes un sociālās apdrošināšanas fonda apakšsektorā – viena iestāde, bez tam - 128 valsts un pašvaldību kontrolēti un finansēti komersanti, no tiem valsts kontrolēti – 49 komersanti, pašvaldību kontrolēti – 79 komersanti. </w:t>
      </w:r>
    </w:p>
    <w:p w14:paraId="30988BD8" w14:textId="77777777" w:rsidR="00CD1F9B" w:rsidRPr="00CD1F9B" w:rsidRDefault="00CD1F9B" w:rsidP="00CD1F9B">
      <w:pPr>
        <w:pStyle w:val="Default"/>
        <w:spacing w:after="60"/>
        <w:ind w:firstLine="720"/>
        <w:jc w:val="both"/>
        <w:rPr>
          <w:color w:val="auto"/>
          <w:szCs w:val="23"/>
        </w:rPr>
      </w:pPr>
      <w:r w:rsidRPr="00CD1F9B">
        <w:rPr>
          <w:color w:val="auto"/>
          <w:szCs w:val="23"/>
        </w:rPr>
        <w:t>Uz vispārējās valdības sektoru attiecināmo komersantu sarakstu sastāda CSP, pārbaudot komersanta atbilstību sekojošiem kritērijiem:</w:t>
      </w:r>
    </w:p>
    <w:p w14:paraId="6739BC8D" w14:textId="77777777" w:rsidR="00CD1F9B" w:rsidRPr="00CD1F9B" w:rsidRDefault="00CD1F9B" w:rsidP="008920E5">
      <w:pPr>
        <w:pStyle w:val="Default"/>
        <w:numPr>
          <w:ilvl w:val="0"/>
          <w:numId w:val="7"/>
        </w:numPr>
        <w:spacing w:after="60"/>
        <w:jc w:val="both"/>
        <w:rPr>
          <w:color w:val="auto"/>
          <w:szCs w:val="23"/>
        </w:rPr>
      </w:pPr>
      <w:r w:rsidRPr="00CD1F9B">
        <w:rPr>
          <w:color w:val="auto"/>
          <w:szCs w:val="23"/>
        </w:rPr>
        <w:t>vai tam ir institucionālas vienības pazīmes;</w:t>
      </w:r>
    </w:p>
    <w:p w14:paraId="2D035A52" w14:textId="77777777" w:rsidR="00CD1F9B" w:rsidRPr="00CD1F9B" w:rsidRDefault="00CD1F9B" w:rsidP="008920E5">
      <w:pPr>
        <w:pStyle w:val="Default"/>
        <w:numPr>
          <w:ilvl w:val="0"/>
          <w:numId w:val="7"/>
        </w:numPr>
        <w:spacing w:after="60"/>
        <w:jc w:val="both"/>
        <w:rPr>
          <w:color w:val="auto"/>
          <w:szCs w:val="23"/>
        </w:rPr>
      </w:pPr>
      <w:r w:rsidRPr="00CD1F9B">
        <w:rPr>
          <w:color w:val="auto"/>
          <w:szCs w:val="23"/>
        </w:rPr>
        <w:t>vai tas ir piederīgs publiskajam sektoram (valsts un pašvaldību līdzdalība komersanta pamatkapitālā pārsniedz 50 %);</w:t>
      </w:r>
    </w:p>
    <w:p w14:paraId="74ACC13F" w14:textId="77777777" w:rsidR="00CD1F9B" w:rsidRPr="00CD1F9B" w:rsidRDefault="00CD1F9B" w:rsidP="008920E5">
      <w:pPr>
        <w:pStyle w:val="Default"/>
        <w:numPr>
          <w:ilvl w:val="0"/>
          <w:numId w:val="7"/>
        </w:numPr>
        <w:spacing w:after="60"/>
        <w:jc w:val="both"/>
        <w:rPr>
          <w:color w:val="auto"/>
          <w:szCs w:val="23"/>
        </w:rPr>
      </w:pPr>
      <w:r w:rsidRPr="00CD1F9B">
        <w:rPr>
          <w:color w:val="auto"/>
          <w:szCs w:val="23"/>
        </w:rPr>
        <w:t>vai tas ir uzskatāms par ārpustirgus publiskā sektora institucionālo vienību.</w:t>
      </w:r>
    </w:p>
    <w:p w14:paraId="227E7657" w14:textId="77777777" w:rsidR="00CD1F9B" w:rsidRPr="00CD1F9B" w:rsidRDefault="00CD1F9B" w:rsidP="00CD1F9B">
      <w:pPr>
        <w:pStyle w:val="Default"/>
        <w:spacing w:after="60"/>
        <w:ind w:firstLine="720"/>
        <w:jc w:val="both"/>
        <w:rPr>
          <w:color w:val="auto"/>
          <w:szCs w:val="23"/>
        </w:rPr>
      </w:pPr>
      <w:r w:rsidRPr="00CD1F9B">
        <w:rPr>
          <w:color w:val="auto"/>
          <w:szCs w:val="23"/>
        </w:rPr>
        <w:t>Ja vienības galvenā funkcija ir līdzdalība nacionālā ienākuma un bagātības pārdalē un tai ir piešķirts Vispārējās ekonomiskās darbības klasifikācijas NACE 2.red. kods, kas sākas ar “84” (klasifikācijas nodaļa “Valsts pārvalde un aizsardzība; obligātā sociālā apdrošināšana”), vienība tiek attiecināta uz vispārējās valdības sektoru. Piederību vispārējās valdības sektoram nosaka, analizējot vienības gada pārskatā sniegtos datus par finansiālo darbību. Analīzē tiek lietoti pēdējo piecu gadu pārskatu dati. Ja stabili (pēdējos trijos gados) izpildās nosacījums, ka vienības neto apgrozījums mīnus saņemtie valsts vai pašvaldības budžeta asignējumi ir mazāk kā 50% no vienības darbības izmaksām, vienība tiek attiecināta uz vispārējās valdības sektoru. Bez tam, ja vienības galvenais ienākuma avots ir citu valdības vienību maksa par pakalpojumiem, tā tiek attiecināta uz vispārējās valdības sektoru.</w:t>
      </w:r>
    </w:p>
    <w:p w14:paraId="688EA32C" w14:textId="77777777" w:rsidR="00CD1F9B" w:rsidRPr="00CD1F9B" w:rsidRDefault="00CD1F9B" w:rsidP="00CD1F9B">
      <w:pPr>
        <w:pStyle w:val="Default"/>
        <w:spacing w:after="60"/>
        <w:ind w:firstLine="720"/>
        <w:jc w:val="both"/>
        <w:rPr>
          <w:color w:val="auto"/>
          <w:szCs w:val="23"/>
        </w:rPr>
      </w:pPr>
      <w:r w:rsidRPr="00CD1F9B">
        <w:rPr>
          <w:color w:val="auto"/>
          <w:szCs w:val="23"/>
        </w:rPr>
        <w:t xml:space="preserve">CSP katru ceturksni gatavo detalizētu informāciju par vispārējās valdības sektora ieņēmumiem, izdevumiem, kā arī finanšu kontiem un valdības parādu, kuru sniedz </w:t>
      </w:r>
      <w:r w:rsidR="003E52A2">
        <w:rPr>
          <w:color w:val="auto"/>
          <w:szCs w:val="23"/>
        </w:rPr>
        <w:t>ES</w:t>
      </w:r>
      <w:r w:rsidRPr="00CD1F9B">
        <w:rPr>
          <w:color w:val="auto"/>
          <w:szCs w:val="23"/>
        </w:rPr>
        <w:t xml:space="preserve"> Statistikas birojam </w:t>
      </w:r>
      <w:r w:rsidRPr="00C81719">
        <w:rPr>
          <w:i/>
          <w:color w:val="auto"/>
          <w:szCs w:val="23"/>
        </w:rPr>
        <w:t>Eurostat</w:t>
      </w:r>
      <w:r w:rsidRPr="00CD1F9B">
        <w:rPr>
          <w:color w:val="auto"/>
          <w:szCs w:val="23"/>
        </w:rPr>
        <w:t xml:space="preserve"> trīs mēnešus pēc pārskata perioda beigām. </w:t>
      </w:r>
    </w:p>
    <w:p w14:paraId="4316B855" w14:textId="06B5C139" w:rsidR="00CD1F9B" w:rsidRPr="00CD1F9B" w:rsidRDefault="00CD1F9B" w:rsidP="00CD1F9B">
      <w:pPr>
        <w:pStyle w:val="Default"/>
        <w:spacing w:after="60"/>
        <w:ind w:firstLine="720"/>
        <w:jc w:val="both"/>
        <w:rPr>
          <w:color w:val="auto"/>
          <w:szCs w:val="23"/>
        </w:rPr>
      </w:pPr>
      <w:r w:rsidRPr="00CD1F9B">
        <w:rPr>
          <w:color w:val="auto"/>
          <w:szCs w:val="23"/>
        </w:rPr>
        <w:t xml:space="preserve">Bez tam noteiktajos termiņos (divas reizes gadā – līdz 1. aprīlim (operatīvie dati) un līdz 1. oktobrim – (gala dati) tiek gatavota vispārējās valdības budžeta deficīta un parāda notifikācija, kura tiek regulāri sūtīta ES institūcijām pēc visām ES dalībvalstīm noteiktas vienotas formas. Par notifikācijas sagatavošanu atbildīgā iestāde ir CSP, kura vada regulāras starpinstitūciju darba grupas sanāksmes. Notifikācijas sagatavošanā ir iesaistīti speciālisti no </w:t>
      </w:r>
      <w:r w:rsidR="003E52A2">
        <w:rPr>
          <w:color w:val="auto"/>
          <w:szCs w:val="23"/>
        </w:rPr>
        <w:t>FM</w:t>
      </w:r>
      <w:r w:rsidRPr="00CD1F9B">
        <w:rPr>
          <w:color w:val="auto"/>
          <w:szCs w:val="23"/>
        </w:rPr>
        <w:t xml:space="preserve">, </w:t>
      </w:r>
      <w:r w:rsidR="003E52A2">
        <w:rPr>
          <w:color w:val="auto"/>
          <w:szCs w:val="23"/>
        </w:rPr>
        <w:t>VK</w:t>
      </w:r>
      <w:r w:rsidRPr="00CD1F9B">
        <w:rPr>
          <w:color w:val="auto"/>
          <w:szCs w:val="23"/>
        </w:rPr>
        <w:t xml:space="preserve"> un </w:t>
      </w:r>
      <w:r w:rsidR="00716665">
        <w:rPr>
          <w:color w:val="auto"/>
          <w:szCs w:val="23"/>
        </w:rPr>
        <w:t>Ekonomikas ministrijas</w:t>
      </w:r>
      <w:r w:rsidRPr="00CD1F9B">
        <w:rPr>
          <w:color w:val="auto"/>
          <w:szCs w:val="23"/>
        </w:rPr>
        <w:t xml:space="preserve">, kā arī no </w:t>
      </w:r>
      <w:r w:rsidR="00716665">
        <w:rPr>
          <w:color w:val="auto"/>
          <w:szCs w:val="23"/>
        </w:rPr>
        <w:t>Latvijas Bankas</w:t>
      </w:r>
      <w:r w:rsidRPr="00CD1F9B">
        <w:rPr>
          <w:color w:val="auto"/>
          <w:szCs w:val="23"/>
        </w:rPr>
        <w:t xml:space="preserve">. Vajadzības gadījumā papildus tiek piesaistīti speciālisti no citām institūcijām (Aizsardzības ministrijas, Labklājības ministrijas, Rīgas Domes u.c). </w:t>
      </w:r>
    </w:p>
    <w:p w14:paraId="59AA7D8D" w14:textId="77777777" w:rsidR="00CD1F9B" w:rsidRPr="00CD1F9B" w:rsidRDefault="00CD1F9B" w:rsidP="00CD1F9B">
      <w:pPr>
        <w:pStyle w:val="Default"/>
        <w:spacing w:after="60"/>
        <w:ind w:firstLine="720"/>
        <w:jc w:val="both"/>
        <w:rPr>
          <w:color w:val="auto"/>
          <w:szCs w:val="23"/>
        </w:rPr>
      </w:pPr>
      <w:r w:rsidRPr="00CD1F9B">
        <w:rPr>
          <w:color w:val="auto"/>
          <w:szCs w:val="23"/>
        </w:rPr>
        <w:t xml:space="preserve">Ar vispārējās valdības budžeta deficīta un parāda notifikāciju ES dalībvalstis informē </w:t>
      </w:r>
      <w:r w:rsidR="003E52A2">
        <w:rPr>
          <w:color w:val="auto"/>
          <w:szCs w:val="23"/>
        </w:rPr>
        <w:t>EK</w:t>
      </w:r>
      <w:r w:rsidRPr="00CD1F9B">
        <w:rPr>
          <w:color w:val="auto"/>
          <w:szCs w:val="23"/>
        </w:rPr>
        <w:t xml:space="preserve"> par savas valsts rīcībā esošiem budžeta līdzekļiem un to izlietojumu. </w:t>
      </w:r>
    </w:p>
    <w:p w14:paraId="7C9F80E8" w14:textId="77777777" w:rsidR="00CD1F9B" w:rsidRPr="00CD1F9B" w:rsidRDefault="00CD1F9B" w:rsidP="00CD1F9B">
      <w:pPr>
        <w:pStyle w:val="Default"/>
        <w:spacing w:after="60"/>
        <w:ind w:firstLine="720"/>
        <w:jc w:val="both"/>
        <w:rPr>
          <w:color w:val="auto"/>
          <w:szCs w:val="23"/>
        </w:rPr>
      </w:pPr>
      <w:r w:rsidRPr="00CD1F9B">
        <w:rPr>
          <w:color w:val="auto"/>
          <w:szCs w:val="23"/>
        </w:rPr>
        <w:t xml:space="preserve">Notifikāciju rezultāti tiek izmantoti valstu izvērtēšanai par to, kā tiek nodrošināta ekonomisko rādītāju atbilstība Māstrihtas līgumā noteiktajiem kritērijiem, t.i., plānotā un faktiskā vispārējās valdības sektora budžeta deficīta attiecība pret iekšzemes kopproduktu tirgus cenās nedrīkst pārsniegt 3 % un valdības parāda attiecība pret iekšzemes kopproduktu tirgus cenās nedrīkst būt lielāka par 60 %, kas aprēķināti atbilstoši EKS 2010 prasībām. </w:t>
      </w:r>
    </w:p>
    <w:p w14:paraId="0E2139B2" w14:textId="18D9C7EB" w:rsidR="00CD1F9B" w:rsidRPr="00CD1F9B" w:rsidRDefault="00CD1F9B" w:rsidP="00CD1F9B">
      <w:pPr>
        <w:pStyle w:val="Default"/>
        <w:spacing w:after="60"/>
        <w:ind w:firstLine="720"/>
        <w:jc w:val="both"/>
        <w:rPr>
          <w:color w:val="auto"/>
          <w:szCs w:val="23"/>
        </w:rPr>
      </w:pPr>
      <w:r w:rsidRPr="00CD1F9B">
        <w:rPr>
          <w:color w:val="auto"/>
          <w:szCs w:val="23"/>
        </w:rPr>
        <w:t xml:space="preserve">Visai iepriekš minētajai informācijai galvenie datu avoti ir </w:t>
      </w:r>
      <w:r w:rsidR="00E42D7B">
        <w:rPr>
          <w:color w:val="auto"/>
          <w:szCs w:val="23"/>
        </w:rPr>
        <w:t>FM</w:t>
      </w:r>
      <w:r w:rsidRPr="00CD1F9B">
        <w:rPr>
          <w:color w:val="auto"/>
          <w:szCs w:val="23"/>
        </w:rPr>
        <w:t xml:space="preserve"> „Gada pārskats par valsts budžeta izpildi un par pašvaldību budžetiem n-1 gadā” (operatīvajiem datiem –</w:t>
      </w:r>
      <w:r w:rsidR="003E52A2">
        <w:rPr>
          <w:color w:val="auto"/>
          <w:szCs w:val="23"/>
        </w:rPr>
        <w:t>VK</w:t>
      </w:r>
      <w:r w:rsidRPr="00CD1F9B">
        <w:rPr>
          <w:color w:val="auto"/>
          <w:szCs w:val="23"/>
        </w:rPr>
        <w:t xml:space="preserve"> „Oficiālais mēneša pārskats par budžeta izpildi n-1 gada janvārī – decembrī”), Valsts un pašvaldību budžeta iestāžu grāmatvedības bilanču kopsavilkumi uz n-1 gada beigām (operatīvajiem datiem – Kopsavilkums par finanšu aktīviem un pasīviem n-1 gadā), kā arī informācija no CSP statistikas pārskata veidlapas 1- FAP „Finanšu aktīvi un pasīvi n-1 gadā” (operatīvajiem datiem – 2-FAP „Finanšu aktīvi un pasīvi n-1 gadā”).</w:t>
      </w:r>
    </w:p>
    <w:p w14:paraId="2BAF2D6B" w14:textId="77777777" w:rsidR="00F51615" w:rsidRPr="00F51615" w:rsidRDefault="00F51615">
      <w:pPr>
        <w:rPr>
          <w:rFonts w:ascii="Times New Roman" w:hAnsi="Times New Roman" w:cs="Times New Roman"/>
        </w:rPr>
      </w:pPr>
      <w:r w:rsidRPr="00F51615">
        <w:rPr>
          <w:rFonts w:ascii="Times New Roman" w:hAnsi="Times New Roman" w:cs="Times New Roman"/>
        </w:rPr>
        <w:br w:type="page"/>
      </w:r>
    </w:p>
    <w:p w14:paraId="7A6E2DD8" w14:textId="77777777" w:rsidR="00A34463" w:rsidRPr="00F51615" w:rsidRDefault="00F51615" w:rsidP="00F51615">
      <w:pPr>
        <w:pStyle w:val="Heading1"/>
        <w:numPr>
          <w:ilvl w:val="0"/>
          <w:numId w:val="0"/>
        </w:numPr>
        <w:jc w:val="center"/>
        <w:rPr>
          <w:rFonts w:ascii="Times New Roman" w:hAnsi="Times New Roman" w:cs="Times New Roman"/>
          <w:sz w:val="32"/>
          <w:szCs w:val="32"/>
        </w:rPr>
      </w:pPr>
      <w:bookmarkStart w:id="27" w:name="_Toc416279088"/>
      <w:r w:rsidRPr="00F51615">
        <w:rPr>
          <w:rFonts w:ascii="Times New Roman" w:hAnsi="Times New Roman" w:cs="Times New Roman"/>
          <w:sz w:val="32"/>
          <w:szCs w:val="32"/>
        </w:rPr>
        <w:t>Pielikumi</w:t>
      </w:r>
      <w:bookmarkEnd w:id="27"/>
    </w:p>
    <w:p w14:paraId="6FE1BEB6" w14:textId="0B2FF5FE" w:rsidR="00F51615" w:rsidRDefault="00C81719" w:rsidP="000B76F4">
      <w:pPr>
        <w:pStyle w:val="T"/>
        <w:spacing w:before="360"/>
        <w:ind w:left="0"/>
        <w:rPr>
          <w:rFonts w:ascii="Times New Roman" w:hAnsi="Times New Roman"/>
          <w:color w:val="000000"/>
        </w:rPr>
      </w:pPr>
      <w:r>
        <w:rPr>
          <w:rFonts w:ascii="Times New Roman" w:hAnsi="Times New Roman"/>
          <w:color w:val="000000"/>
        </w:rPr>
        <w:t>1a.</w:t>
      </w:r>
      <w:r w:rsidR="00F51615" w:rsidRPr="00F51615">
        <w:rPr>
          <w:rFonts w:ascii="Times New Roman" w:hAnsi="Times New Roman"/>
          <w:color w:val="000000"/>
        </w:rPr>
        <w:t>tabula. Izaugsme un ar to saistītie faktori</w:t>
      </w:r>
    </w:p>
    <w:tbl>
      <w:tblPr>
        <w:tblStyle w:val="GridTable6ColorfulAccent1"/>
        <w:tblW w:w="9483" w:type="dxa"/>
        <w:jc w:val="center"/>
        <w:tblLayout w:type="fixed"/>
        <w:tblLook w:val="04A0" w:firstRow="1" w:lastRow="0" w:firstColumn="1" w:lastColumn="0" w:noHBand="0" w:noVBand="1"/>
      </w:tblPr>
      <w:tblGrid>
        <w:gridCol w:w="3671"/>
        <w:gridCol w:w="1134"/>
        <w:gridCol w:w="992"/>
        <w:gridCol w:w="709"/>
        <w:gridCol w:w="709"/>
        <w:gridCol w:w="708"/>
        <w:gridCol w:w="709"/>
        <w:gridCol w:w="851"/>
      </w:tblGrid>
      <w:tr w:rsidR="0009609E" w:rsidRPr="00E055A8" w14:paraId="5B6FF208" w14:textId="77777777" w:rsidTr="00E055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1" w:type="dxa"/>
            <w:vAlign w:val="center"/>
          </w:tcPr>
          <w:p w14:paraId="425E4713" w14:textId="77777777" w:rsidR="0009609E" w:rsidRPr="00E055A8" w:rsidRDefault="0009609E" w:rsidP="00E055A8">
            <w:pPr>
              <w:keepNext/>
              <w:ind w:hanging="31"/>
              <w:jc w:val="center"/>
              <w:rPr>
                <w:rFonts w:ascii="Times New Roman" w:hAnsi="Times New Roman" w:cs="Times New Roman"/>
                <w:color w:val="000000"/>
                <w:sz w:val="20"/>
                <w:szCs w:val="20"/>
              </w:rPr>
            </w:pPr>
          </w:p>
        </w:tc>
        <w:tc>
          <w:tcPr>
            <w:tcW w:w="1134" w:type="dxa"/>
            <w:vAlign w:val="center"/>
          </w:tcPr>
          <w:p w14:paraId="35D98097" w14:textId="77777777" w:rsidR="0009609E" w:rsidRPr="00E055A8" w:rsidRDefault="0009609E" w:rsidP="00E055A8">
            <w:pPr>
              <w:keepNext/>
              <w:ind w:hanging="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EKS</w:t>
            </w:r>
          </w:p>
          <w:p w14:paraId="7426EEC7" w14:textId="77777777" w:rsidR="0009609E" w:rsidRPr="00E055A8" w:rsidRDefault="0009609E" w:rsidP="00E055A8">
            <w:pPr>
              <w:keepNext/>
              <w:ind w:hanging="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Kods</w:t>
            </w:r>
          </w:p>
        </w:tc>
        <w:tc>
          <w:tcPr>
            <w:tcW w:w="992" w:type="dxa"/>
            <w:vAlign w:val="center"/>
          </w:tcPr>
          <w:p w14:paraId="14A344E7" w14:textId="77777777" w:rsidR="0009609E" w:rsidRPr="00E055A8" w:rsidRDefault="0009609E" w:rsidP="00E055A8">
            <w:pPr>
              <w:keepNext/>
              <w:ind w:hanging="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2014</w:t>
            </w:r>
          </w:p>
        </w:tc>
        <w:tc>
          <w:tcPr>
            <w:tcW w:w="709" w:type="dxa"/>
            <w:vAlign w:val="center"/>
          </w:tcPr>
          <w:p w14:paraId="56970817" w14:textId="77777777" w:rsidR="0009609E" w:rsidRPr="00E055A8" w:rsidRDefault="0009609E" w:rsidP="00E055A8">
            <w:pPr>
              <w:keepNext/>
              <w:ind w:hanging="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2014</w:t>
            </w:r>
          </w:p>
        </w:tc>
        <w:tc>
          <w:tcPr>
            <w:tcW w:w="709" w:type="dxa"/>
            <w:vAlign w:val="center"/>
          </w:tcPr>
          <w:p w14:paraId="7B1E40B4" w14:textId="77777777" w:rsidR="0009609E" w:rsidRPr="00E055A8" w:rsidRDefault="0009609E" w:rsidP="00E055A8">
            <w:pPr>
              <w:keepNext/>
              <w:ind w:hanging="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2015</w:t>
            </w:r>
          </w:p>
        </w:tc>
        <w:tc>
          <w:tcPr>
            <w:tcW w:w="708" w:type="dxa"/>
            <w:vAlign w:val="center"/>
          </w:tcPr>
          <w:p w14:paraId="52A53E3D" w14:textId="77777777" w:rsidR="0009609E" w:rsidRPr="00E055A8" w:rsidRDefault="0009609E" w:rsidP="00E055A8">
            <w:pPr>
              <w:keepNext/>
              <w:ind w:hanging="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2016</w:t>
            </w:r>
          </w:p>
        </w:tc>
        <w:tc>
          <w:tcPr>
            <w:tcW w:w="709" w:type="dxa"/>
            <w:vAlign w:val="center"/>
          </w:tcPr>
          <w:p w14:paraId="285185F3" w14:textId="77777777" w:rsidR="0009609E" w:rsidRPr="00E055A8" w:rsidRDefault="0009609E" w:rsidP="00E055A8">
            <w:pPr>
              <w:keepNext/>
              <w:ind w:hanging="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2017</w:t>
            </w:r>
          </w:p>
        </w:tc>
        <w:tc>
          <w:tcPr>
            <w:tcW w:w="851" w:type="dxa"/>
            <w:vAlign w:val="center"/>
          </w:tcPr>
          <w:p w14:paraId="5A8C824F" w14:textId="77777777" w:rsidR="0009609E" w:rsidRPr="00E055A8" w:rsidRDefault="0009609E" w:rsidP="00E055A8">
            <w:pPr>
              <w:keepNext/>
              <w:ind w:hanging="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2018</w:t>
            </w:r>
          </w:p>
        </w:tc>
      </w:tr>
      <w:tr w:rsidR="0009609E" w:rsidRPr="00E055A8" w14:paraId="5E3A124C"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1" w:type="dxa"/>
          </w:tcPr>
          <w:p w14:paraId="70A4F4DF" w14:textId="77777777" w:rsidR="0009609E" w:rsidRPr="00E055A8" w:rsidRDefault="0009609E" w:rsidP="0009609E">
            <w:pPr>
              <w:ind w:hanging="31"/>
              <w:jc w:val="both"/>
              <w:rPr>
                <w:rFonts w:ascii="Times New Roman" w:hAnsi="Times New Roman" w:cs="Times New Roman"/>
                <w:color w:val="000000"/>
                <w:sz w:val="20"/>
                <w:szCs w:val="20"/>
              </w:rPr>
            </w:pPr>
          </w:p>
        </w:tc>
        <w:tc>
          <w:tcPr>
            <w:tcW w:w="1134" w:type="dxa"/>
          </w:tcPr>
          <w:p w14:paraId="0352F24C" w14:textId="77777777" w:rsidR="0009609E" w:rsidRPr="00E055A8" w:rsidRDefault="0009609E" w:rsidP="0009609E">
            <w:pPr>
              <w:ind w:hanging="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92" w:type="dxa"/>
          </w:tcPr>
          <w:p w14:paraId="2025F4A6" w14:textId="513CBECE" w:rsidR="0009609E" w:rsidRPr="00E055A8" w:rsidRDefault="0009609E" w:rsidP="00527227">
            <w:pPr>
              <w:ind w:hanging="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 xml:space="preserve">milj. </w:t>
            </w:r>
            <w:r w:rsidR="00527227" w:rsidRPr="00E055A8">
              <w:rPr>
                <w:rFonts w:ascii="Times New Roman" w:hAnsi="Times New Roman" w:cs="Times New Roman"/>
                <w:i/>
                <w:color w:val="000000"/>
                <w:sz w:val="20"/>
                <w:szCs w:val="20"/>
              </w:rPr>
              <w:t>euro</w:t>
            </w:r>
          </w:p>
        </w:tc>
        <w:tc>
          <w:tcPr>
            <w:tcW w:w="3686" w:type="dxa"/>
            <w:gridSpan w:val="5"/>
          </w:tcPr>
          <w:p w14:paraId="6B275022" w14:textId="77777777" w:rsidR="0009609E" w:rsidRPr="00F171EC" w:rsidRDefault="0009609E" w:rsidP="0009609E">
            <w:pPr>
              <w:ind w:hanging="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F171EC">
              <w:rPr>
                <w:rFonts w:ascii="Times New Roman" w:hAnsi="Times New Roman" w:cs="Times New Roman"/>
                <w:color w:val="000000"/>
                <w:sz w:val="20"/>
                <w:szCs w:val="20"/>
              </w:rPr>
              <w:t>Pieaugums %</w:t>
            </w:r>
          </w:p>
        </w:tc>
      </w:tr>
      <w:tr w:rsidR="0009609E" w:rsidRPr="00E055A8" w14:paraId="0F61D500" w14:textId="77777777" w:rsidTr="00AC1747">
        <w:trPr>
          <w:jc w:val="center"/>
        </w:trPr>
        <w:tc>
          <w:tcPr>
            <w:cnfStyle w:val="001000000000" w:firstRow="0" w:lastRow="0" w:firstColumn="1" w:lastColumn="0" w:oddVBand="0" w:evenVBand="0" w:oddHBand="0" w:evenHBand="0" w:firstRowFirstColumn="0" w:firstRowLastColumn="0" w:lastRowFirstColumn="0" w:lastRowLastColumn="0"/>
            <w:tcW w:w="3671" w:type="dxa"/>
          </w:tcPr>
          <w:p w14:paraId="74DCE7D1" w14:textId="77777777" w:rsidR="0009609E" w:rsidRPr="00E055A8" w:rsidRDefault="0009609E" w:rsidP="0009609E">
            <w:pPr>
              <w:ind w:hanging="31"/>
              <w:jc w:val="both"/>
              <w:rPr>
                <w:rFonts w:ascii="Times New Roman" w:hAnsi="Times New Roman" w:cs="Times New Roman"/>
                <w:b w:val="0"/>
                <w:color w:val="000000"/>
                <w:sz w:val="20"/>
                <w:szCs w:val="20"/>
              </w:rPr>
            </w:pPr>
            <w:r w:rsidRPr="00E055A8">
              <w:rPr>
                <w:rFonts w:ascii="Times New Roman" w:hAnsi="Times New Roman" w:cs="Times New Roman"/>
                <w:b w:val="0"/>
                <w:color w:val="000000"/>
                <w:sz w:val="20"/>
                <w:szCs w:val="20"/>
              </w:rPr>
              <w:t>1. IKP 2010. gada cenās</w:t>
            </w:r>
          </w:p>
        </w:tc>
        <w:tc>
          <w:tcPr>
            <w:tcW w:w="1134" w:type="dxa"/>
          </w:tcPr>
          <w:p w14:paraId="59B62094" w14:textId="77777777" w:rsidR="0009609E" w:rsidRPr="00E055A8" w:rsidRDefault="0009609E" w:rsidP="0009609E">
            <w:pPr>
              <w:ind w:hanging="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B1*g</w:t>
            </w:r>
          </w:p>
        </w:tc>
        <w:tc>
          <w:tcPr>
            <w:tcW w:w="992" w:type="dxa"/>
          </w:tcPr>
          <w:p w14:paraId="3B0CBE15"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21333,4</w:t>
            </w:r>
          </w:p>
        </w:tc>
        <w:tc>
          <w:tcPr>
            <w:tcW w:w="709" w:type="dxa"/>
            <w:vAlign w:val="center"/>
          </w:tcPr>
          <w:p w14:paraId="72E5102E" w14:textId="77777777" w:rsidR="0009609E" w:rsidRPr="00E055A8" w:rsidRDefault="0009609E" w:rsidP="00AC1747">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2,4</w:t>
            </w:r>
          </w:p>
        </w:tc>
        <w:tc>
          <w:tcPr>
            <w:tcW w:w="709" w:type="dxa"/>
            <w:vAlign w:val="center"/>
          </w:tcPr>
          <w:p w14:paraId="58AAABC5" w14:textId="77777777" w:rsidR="0009609E" w:rsidRPr="00E055A8" w:rsidRDefault="0009609E" w:rsidP="00AC1747">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2,1</w:t>
            </w:r>
          </w:p>
        </w:tc>
        <w:tc>
          <w:tcPr>
            <w:tcW w:w="708" w:type="dxa"/>
            <w:vAlign w:val="center"/>
          </w:tcPr>
          <w:p w14:paraId="268C9689" w14:textId="77777777" w:rsidR="0009609E" w:rsidRPr="00E055A8" w:rsidRDefault="0009609E" w:rsidP="00AC1747">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3,0</w:t>
            </w:r>
          </w:p>
        </w:tc>
        <w:tc>
          <w:tcPr>
            <w:tcW w:w="709" w:type="dxa"/>
            <w:vAlign w:val="center"/>
          </w:tcPr>
          <w:p w14:paraId="7A77C3CF" w14:textId="77777777" w:rsidR="0009609E" w:rsidRPr="00E055A8" w:rsidRDefault="0009609E" w:rsidP="00AC1747">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3,6</w:t>
            </w:r>
          </w:p>
        </w:tc>
        <w:tc>
          <w:tcPr>
            <w:tcW w:w="851" w:type="dxa"/>
            <w:vAlign w:val="center"/>
          </w:tcPr>
          <w:p w14:paraId="5F9FC552" w14:textId="77777777" w:rsidR="0009609E" w:rsidRPr="00E055A8" w:rsidRDefault="0009609E" w:rsidP="00AC1747">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3,6</w:t>
            </w:r>
          </w:p>
        </w:tc>
      </w:tr>
      <w:tr w:rsidR="0009609E" w:rsidRPr="00E055A8" w14:paraId="2FCFA982" w14:textId="77777777" w:rsidTr="00AC17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1" w:type="dxa"/>
          </w:tcPr>
          <w:p w14:paraId="37351E4B" w14:textId="77777777" w:rsidR="0009609E" w:rsidRPr="00E055A8" w:rsidRDefault="0009609E" w:rsidP="0009609E">
            <w:pPr>
              <w:ind w:hanging="31"/>
              <w:jc w:val="both"/>
              <w:rPr>
                <w:rFonts w:ascii="Times New Roman" w:hAnsi="Times New Roman" w:cs="Times New Roman"/>
                <w:b w:val="0"/>
                <w:color w:val="000000"/>
                <w:sz w:val="20"/>
                <w:szCs w:val="20"/>
              </w:rPr>
            </w:pPr>
            <w:r w:rsidRPr="00E055A8">
              <w:rPr>
                <w:rFonts w:ascii="Times New Roman" w:hAnsi="Times New Roman" w:cs="Times New Roman"/>
                <w:b w:val="0"/>
                <w:color w:val="000000"/>
                <w:sz w:val="20"/>
                <w:szCs w:val="20"/>
              </w:rPr>
              <w:t>2. IKP faktiskajās cenās</w:t>
            </w:r>
          </w:p>
        </w:tc>
        <w:tc>
          <w:tcPr>
            <w:tcW w:w="1134" w:type="dxa"/>
          </w:tcPr>
          <w:p w14:paraId="0BD7ED0E" w14:textId="77777777" w:rsidR="0009609E" w:rsidRPr="00E055A8" w:rsidRDefault="0009609E" w:rsidP="0009609E">
            <w:pPr>
              <w:ind w:hanging="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B1*g</w:t>
            </w:r>
          </w:p>
        </w:tc>
        <w:tc>
          <w:tcPr>
            <w:tcW w:w="992" w:type="dxa"/>
          </w:tcPr>
          <w:p w14:paraId="75ADE256"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24058,1</w:t>
            </w:r>
          </w:p>
          <w:p w14:paraId="2AD0FC8C"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709" w:type="dxa"/>
            <w:vAlign w:val="center"/>
          </w:tcPr>
          <w:p w14:paraId="2E7551B7" w14:textId="77777777" w:rsidR="0009609E" w:rsidRPr="00E055A8" w:rsidRDefault="0009609E" w:rsidP="00AC1747">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3,6</w:t>
            </w:r>
          </w:p>
        </w:tc>
        <w:tc>
          <w:tcPr>
            <w:tcW w:w="709" w:type="dxa"/>
            <w:vAlign w:val="center"/>
          </w:tcPr>
          <w:p w14:paraId="65CC9E90" w14:textId="77777777" w:rsidR="0009609E" w:rsidRPr="00E055A8" w:rsidRDefault="0009609E" w:rsidP="00AC1747">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3,3</w:t>
            </w:r>
          </w:p>
        </w:tc>
        <w:tc>
          <w:tcPr>
            <w:tcW w:w="708" w:type="dxa"/>
            <w:vAlign w:val="center"/>
          </w:tcPr>
          <w:p w14:paraId="75EBE648" w14:textId="77777777" w:rsidR="0009609E" w:rsidRPr="00E055A8" w:rsidRDefault="0009609E" w:rsidP="00AC1747">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5,0</w:t>
            </w:r>
          </w:p>
        </w:tc>
        <w:tc>
          <w:tcPr>
            <w:tcW w:w="709" w:type="dxa"/>
            <w:vAlign w:val="center"/>
          </w:tcPr>
          <w:p w14:paraId="75EE4E8A" w14:textId="77777777" w:rsidR="0009609E" w:rsidRPr="00E055A8" w:rsidRDefault="0009609E" w:rsidP="00AC1747">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6,2</w:t>
            </w:r>
          </w:p>
        </w:tc>
        <w:tc>
          <w:tcPr>
            <w:tcW w:w="851" w:type="dxa"/>
            <w:vAlign w:val="center"/>
          </w:tcPr>
          <w:p w14:paraId="52480409" w14:textId="77777777" w:rsidR="0009609E" w:rsidRPr="00E055A8" w:rsidRDefault="0009609E" w:rsidP="00AC1747">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6,2</w:t>
            </w:r>
          </w:p>
        </w:tc>
      </w:tr>
      <w:tr w:rsidR="0009609E" w:rsidRPr="00E055A8" w14:paraId="30EFAA5C"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9483" w:type="dxa"/>
            <w:gridSpan w:val="8"/>
          </w:tcPr>
          <w:p w14:paraId="4CA6AAB4" w14:textId="77777777" w:rsidR="0009609E" w:rsidRPr="00E055A8" w:rsidRDefault="0009609E" w:rsidP="0009609E">
            <w:pPr>
              <w:ind w:hanging="31"/>
              <w:jc w:val="center"/>
              <w:rPr>
                <w:rFonts w:ascii="Times New Roman" w:hAnsi="Times New Roman" w:cs="Times New Roman"/>
                <w:color w:val="000000"/>
                <w:sz w:val="20"/>
                <w:szCs w:val="20"/>
              </w:rPr>
            </w:pPr>
            <w:r w:rsidRPr="00E055A8">
              <w:rPr>
                <w:rFonts w:ascii="Times New Roman" w:hAnsi="Times New Roman" w:cs="Times New Roman"/>
                <w:color w:val="000000"/>
                <w:sz w:val="20"/>
                <w:szCs w:val="20"/>
              </w:rPr>
              <w:t>IKP pēc izlietojuma 2010. gada cenās</w:t>
            </w:r>
          </w:p>
        </w:tc>
      </w:tr>
      <w:tr w:rsidR="0009609E" w:rsidRPr="00E055A8" w14:paraId="47B238B4"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1" w:type="dxa"/>
          </w:tcPr>
          <w:p w14:paraId="756765A2" w14:textId="77777777" w:rsidR="0009609E" w:rsidRPr="00E055A8" w:rsidRDefault="0009609E" w:rsidP="0009609E">
            <w:pPr>
              <w:ind w:hanging="31"/>
              <w:jc w:val="both"/>
              <w:rPr>
                <w:rFonts w:ascii="Times New Roman" w:hAnsi="Times New Roman" w:cs="Times New Roman"/>
                <w:b w:val="0"/>
                <w:color w:val="000000"/>
                <w:sz w:val="20"/>
                <w:szCs w:val="20"/>
              </w:rPr>
            </w:pPr>
            <w:r w:rsidRPr="00E055A8">
              <w:rPr>
                <w:rFonts w:ascii="Times New Roman" w:hAnsi="Times New Roman" w:cs="Times New Roman"/>
                <w:b w:val="0"/>
                <w:color w:val="000000"/>
                <w:sz w:val="20"/>
                <w:szCs w:val="20"/>
              </w:rPr>
              <w:t>3. Privātais patēriņš</w:t>
            </w:r>
          </w:p>
        </w:tc>
        <w:tc>
          <w:tcPr>
            <w:tcW w:w="1134" w:type="dxa"/>
          </w:tcPr>
          <w:p w14:paraId="1AB2EC5E" w14:textId="77777777" w:rsidR="0009609E" w:rsidRPr="00E055A8" w:rsidRDefault="0009609E" w:rsidP="0009609E">
            <w:pPr>
              <w:ind w:hanging="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P3</w:t>
            </w:r>
          </w:p>
        </w:tc>
        <w:tc>
          <w:tcPr>
            <w:tcW w:w="992" w:type="dxa"/>
          </w:tcPr>
          <w:p w14:paraId="5D229702"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13373,3</w:t>
            </w:r>
          </w:p>
        </w:tc>
        <w:tc>
          <w:tcPr>
            <w:tcW w:w="709" w:type="dxa"/>
          </w:tcPr>
          <w:p w14:paraId="1307FECC"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2,3</w:t>
            </w:r>
          </w:p>
        </w:tc>
        <w:tc>
          <w:tcPr>
            <w:tcW w:w="709" w:type="dxa"/>
          </w:tcPr>
          <w:p w14:paraId="34C68E22"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2,4</w:t>
            </w:r>
          </w:p>
        </w:tc>
        <w:tc>
          <w:tcPr>
            <w:tcW w:w="708" w:type="dxa"/>
          </w:tcPr>
          <w:p w14:paraId="404786C4"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3,1</w:t>
            </w:r>
          </w:p>
        </w:tc>
        <w:tc>
          <w:tcPr>
            <w:tcW w:w="709" w:type="dxa"/>
          </w:tcPr>
          <w:p w14:paraId="1309F3EF"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3,8</w:t>
            </w:r>
          </w:p>
        </w:tc>
        <w:tc>
          <w:tcPr>
            <w:tcW w:w="851" w:type="dxa"/>
          </w:tcPr>
          <w:p w14:paraId="7FDFCC6C"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3,8</w:t>
            </w:r>
          </w:p>
        </w:tc>
      </w:tr>
      <w:tr w:rsidR="0009609E" w:rsidRPr="00E055A8" w14:paraId="627EE14F"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3671" w:type="dxa"/>
          </w:tcPr>
          <w:p w14:paraId="1B3639C5" w14:textId="77777777" w:rsidR="0009609E" w:rsidRPr="00E055A8" w:rsidRDefault="0009609E" w:rsidP="0009609E">
            <w:pPr>
              <w:ind w:hanging="31"/>
              <w:jc w:val="both"/>
              <w:rPr>
                <w:rFonts w:ascii="Times New Roman" w:hAnsi="Times New Roman" w:cs="Times New Roman"/>
                <w:b w:val="0"/>
                <w:color w:val="000000"/>
                <w:sz w:val="20"/>
                <w:szCs w:val="20"/>
              </w:rPr>
            </w:pPr>
            <w:r w:rsidRPr="00E055A8">
              <w:rPr>
                <w:rFonts w:ascii="Times New Roman" w:hAnsi="Times New Roman" w:cs="Times New Roman"/>
                <w:b w:val="0"/>
                <w:color w:val="000000"/>
                <w:sz w:val="20"/>
                <w:szCs w:val="20"/>
              </w:rPr>
              <w:t>4. Sabiedriskais patēriņš</w:t>
            </w:r>
          </w:p>
        </w:tc>
        <w:tc>
          <w:tcPr>
            <w:tcW w:w="1134" w:type="dxa"/>
          </w:tcPr>
          <w:p w14:paraId="0A52EF05" w14:textId="77777777" w:rsidR="0009609E" w:rsidRPr="00E055A8" w:rsidRDefault="0009609E" w:rsidP="0009609E">
            <w:pPr>
              <w:ind w:hanging="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P3</w:t>
            </w:r>
          </w:p>
        </w:tc>
        <w:tc>
          <w:tcPr>
            <w:tcW w:w="992" w:type="dxa"/>
          </w:tcPr>
          <w:p w14:paraId="2AA84BFD"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3637,9</w:t>
            </w:r>
          </w:p>
        </w:tc>
        <w:tc>
          <w:tcPr>
            <w:tcW w:w="709" w:type="dxa"/>
          </w:tcPr>
          <w:p w14:paraId="1577F318"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3,6</w:t>
            </w:r>
          </w:p>
        </w:tc>
        <w:tc>
          <w:tcPr>
            <w:tcW w:w="709" w:type="dxa"/>
          </w:tcPr>
          <w:p w14:paraId="35B58C74"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2,8</w:t>
            </w:r>
          </w:p>
        </w:tc>
        <w:tc>
          <w:tcPr>
            <w:tcW w:w="708" w:type="dxa"/>
          </w:tcPr>
          <w:p w14:paraId="10DA027A"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2,8</w:t>
            </w:r>
          </w:p>
        </w:tc>
        <w:tc>
          <w:tcPr>
            <w:tcW w:w="709" w:type="dxa"/>
          </w:tcPr>
          <w:p w14:paraId="169DCEFA"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2,8</w:t>
            </w:r>
          </w:p>
        </w:tc>
        <w:tc>
          <w:tcPr>
            <w:tcW w:w="851" w:type="dxa"/>
          </w:tcPr>
          <w:p w14:paraId="3F19F954"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2,8</w:t>
            </w:r>
          </w:p>
        </w:tc>
      </w:tr>
      <w:tr w:rsidR="0009609E" w:rsidRPr="00E055A8" w14:paraId="3561CC5F"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1" w:type="dxa"/>
          </w:tcPr>
          <w:p w14:paraId="38966CB7" w14:textId="77777777" w:rsidR="0009609E" w:rsidRPr="00E055A8" w:rsidRDefault="0009609E" w:rsidP="0009609E">
            <w:pPr>
              <w:ind w:hanging="31"/>
              <w:jc w:val="both"/>
              <w:rPr>
                <w:rFonts w:ascii="Times New Roman" w:hAnsi="Times New Roman" w:cs="Times New Roman"/>
                <w:b w:val="0"/>
                <w:color w:val="000000"/>
                <w:sz w:val="20"/>
                <w:szCs w:val="20"/>
              </w:rPr>
            </w:pPr>
            <w:r w:rsidRPr="00E055A8">
              <w:rPr>
                <w:rFonts w:ascii="Times New Roman" w:hAnsi="Times New Roman" w:cs="Times New Roman"/>
                <w:b w:val="0"/>
                <w:color w:val="000000"/>
                <w:sz w:val="20"/>
                <w:szCs w:val="20"/>
              </w:rPr>
              <w:t>5. Kopējā pamatkapitālā veidošana</w:t>
            </w:r>
          </w:p>
        </w:tc>
        <w:tc>
          <w:tcPr>
            <w:tcW w:w="1134" w:type="dxa"/>
          </w:tcPr>
          <w:p w14:paraId="7DD57A39" w14:textId="77777777" w:rsidR="0009609E" w:rsidRPr="00E055A8" w:rsidRDefault="0009609E" w:rsidP="0009609E">
            <w:pPr>
              <w:ind w:hanging="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P51</w:t>
            </w:r>
          </w:p>
        </w:tc>
        <w:tc>
          <w:tcPr>
            <w:tcW w:w="992" w:type="dxa"/>
          </w:tcPr>
          <w:p w14:paraId="01BEE36F"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4751,4</w:t>
            </w:r>
          </w:p>
        </w:tc>
        <w:tc>
          <w:tcPr>
            <w:tcW w:w="709" w:type="dxa"/>
          </w:tcPr>
          <w:p w14:paraId="1327BD38"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1,6</w:t>
            </w:r>
          </w:p>
        </w:tc>
        <w:tc>
          <w:tcPr>
            <w:tcW w:w="709" w:type="dxa"/>
          </w:tcPr>
          <w:p w14:paraId="7692C10B"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-1,5</w:t>
            </w:r>
          </w:p>
        </w:tc>
        <w:tc>
          <w:tcPr>
            <w:tcW w:w="708" w:type="dxa"/>
          </w:tcPr>
          <w:p w14:paraId="7704C093"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3,5</w:t>
            </w:r>
          </w:p>
        </w:tc>
        <w:tc>
          <w:tcPr>
            <w:tcW w:w="709" w:type="dxa"/>
          </w:tcPr>
          <w:p w14:paraId="0C5CB1BB"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4,1</w:t>
            </w:r>
          </w:p>
        </w:tc>
        <w:tc>
          <w:tcPr>
            <w:tcW w:w="851" w:type="dxa"/>
          </w:tcPr>
          <w:p w14:paraId="5B1AFCD1"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4,5</w:t>
            </w:r>
          </w:p>
        </w:tc>
      </w:tr>
      <w:tr w:rsidR="0009609E" w:rsidRPr="00E055A8" w14:paraId="257A161E"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3671" w:type="dxa"/>
          </w:tcPr>
          <w:p w14:paraId="03EA2850" w14:textId="77777777" w:rsidR="0009609E" w:rsidRPr="00E055A8" w:rsidRDefault="0009609E" w:rsidP="0009609E">
            <w:pPr>
              <w:ind w:hanging="31"/>
              <w:jc w:val="both"/>
              <w:rPr>
                <w:rFonts w:ascii="Times New Roman" w:hAnsi="Times New Roman" w:cs="Times New Roman"/>
                <w:b w:val="0"/>
                <w:color w:val="000000"/>
                <w:sz w:val="20"/>
                <w:szCs w:val="20"/>
              </w:rPr>
            </w:pPr>
            <w:r w:rsidRPr="00E055A8">
              <w:rPr>
                <w:rFonts w:ascii="Times New Roman" w:hAnsi="Times New Roman" w:cs="Times New Roman"/>
                <w:b w:val="0"/>
                <w:color w:val="000000"/>
                <w:sz w:val="20"/>
                <w:szCs w:val="20"/>
              </w:rPr>
              <w:t>6. Krājumu pārmaiņas un vērtslietu iegāde</w:t>
            </w:r>
          </w:p>
        </w:tc>
        <w:tc>
          <w:tcPr>
            <w:tcW w:w="1134" w:type="dxa"/>
          </w:tcPr>
          <w:p w14:paraId="491949B2" w14:textId="77777777" w:rsidR="0009609E" w:rsidRPr="00E055A8" w:rsidRDefault="0009609E" w:rsidP="0009609E">
            <w:pPr>
              <w:ind w:hanging="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P52+P53</w:t>
            </w:r>
          </w:p>
        </w:tc>
        <w:tc>
          <w:tcPr>
            <w:tcW w:w="992" w:type="dxa"/>
          </w:tcPr>
          <w:p w14:paraId="6A2D1A30"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709" w:type="dxa"/>
          </w:tcPr>
          <w:p w14:paraId="5F528C30" w14:textId="77777777" w:rsidR="0009609E" w:rsidRPr="00E055A8" w:rsidRDefault="0009609E" w:rsidP="0009609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-25,9</w:t>
            </w:r>
          </w:p>
        </w:tc>
        <w:tc>
          <w:tcPr>
            <w:tcW w:w="709" w:type="dxa"/>
          </w:tcPr>
          <w:p w14:paraId="7CD8E4BA" w14:textId="77777777" w:rsidR="0009609E" w:rsidRPr="00E055A8" w:rsidRDefault="0009609E" w:rsidP="0009609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-0,4</w:t>
            </w:r>
          </w:p>
        </w:tc>
        <w:tc>
          <w:tcPr>
            <w:tcW w:w="708" w:type="dxa"/>
          </w:tcPr>
          <w:p w14:paraId="27CBA4DD" w14:textId="77777777" w:rsidR="0009609E" w:rsidRPr="00E055A8" w:rsidRDefault="0009609E" w:rsidP="0009609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0,8</w:t>
            </w:r>
          </w:p>
        </w:tc>
        <w:tc>
          <w:tcPr>
            <w:tcW w:w="709" w:type="dxa"/>
          </w:tcPr>
          <w:p w14:paraId="4A807E56" w14:textId="77777777" w:rsidR="0009609E" w:rsidRPr="00E055A8" w:rsidRDefault="0009609E" w:rsidP="0009609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1,0</w:t>
            </w:r>
          </w:p>
        </w:tc>
        <w:tc>
          <w:tcPr>
            <w:tcW w:w="851" w:type="dxa"/>
          </w:tcPr>
          <w:p w14:paraId="3E7B9118" w14:textId="77777777" w:rsidR="0009609E" w:rsidRPr="00E055A8" w:rsidRDefault="0009609E" w:rsidP="0009609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1,1</w:t>
            </w:r>
          </w:p>
        </w:tc>
      </w:tr>
      <w:tr w:rsidR="0009609E" w:rsidRPr="00E055A8" w14:paraId="457F8769"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1" w:type="dxa"/>
          </w:tcPr>
          <w:p w14:paraId="57AF52EA" w14:textId="77777777" w:rsidR="0009609E" w:rsidRPr="00E055A8" w:rsidRDefault="0009609E" w:rsidP="0009609E">
            <w:pPr>
              <w:ind w:hanging="31"/>
              <w:jc w:val="both"/>
              <w:rPr>
                <w:rFonts w:ascii="Times New Roman" w:hAnsi="Times New Roman" w:cs="Times New Roman"/>
                <w:b w:val="0"/>
                <w:color w:val="000000"/>
                <w:sz w:val="20"/>
                <w:szCs w:val="20"/>
              </w:rPr>
            </w:pPr>
            <w:r w:rsidRPr="00E055A8">
              <w:rPr>
                <w:rFonts w:ascii="Times New Roman" w:hAnsi="Times New Roman" w:cs="Times New Roman"/>
                <w:b w:val="0"/>
                <w:color w:val="000000"/>
                <w:sz w:val="20"/>
                <w:szCs w:val="20"/>
              </w:rPr>
              <w:t>7. Eksports</w:t>
            </w:r>
          </w:p>
        </w:tc>
        <w:tc>
          <w:tcPr>
            <w:tcW w:w="1134" w:type="dxa"/>
          </w:tcPr>
          <w:p w14:paraId="7C0CC8ED" w14:textId="77777777" w:rsidR="0009609E" w:rsidRPr="00E055A8" w:rsidRDefault="0009609E" w:rsidP="0009609E">
            <w:pPr>
              <w:ind w:hanging="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P6</w:t>
            </w:r>
          </w:p>
        </w:tc>
        <w:tc>
          <w:tcPr>
            <w:tcW w:w="992" w:type="dxa"/>
          </w:tcPr>
          <w:p w14:paraId="118517D9"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12242,2</w:t>
            </w:r>
          </w:p>
        </w:tc>
        <w:tc>
          <w:tcPr>
            <w:tcW w:w="709" w:type="dxa"/>
          </w:tcPr>
          <w:p w14:paraId="39F09B1A"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1,9</w:t>
            </w:r>
          </w:p>
        </w:tc>
        <w:tc>
          <w:tcPr>
            <w:tcW w:w="709" w:type="dxa"/>
          </w:tcPr>
          <w:p w14:paraId="5E7B01EB"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0,8</w:t>
            </w:r>
          </w:p>
        </w:tc>
        <w:tc>
          <w:tcPr>
            <w:tcW w:w="708" w:type="dxa"/>
          </w:tcPr>
          <w:p w14:paraId="30058D88"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4,0</w:t>
            </w:r>
          </w:p>
        </w:tc>
        <w:tc>
          <w:tcPr>
            <w:tcW w:w="709" w:type="dxa"/>
          </w:tcPr>
          <w:p w14:paraId="6013693B"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4,5</w:t>
            </w:r>
          </w:p>
        </w:tc>
        <w:tc>
          <w:tcPr>
            <w:tcW w:w="851" w:type="dxa"/>
          </w:tcPr>
          <w:p w14:paraId="63B8D991"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5,0</w:t>
            </w:r>
          </w:p>
        </w:tc>
      </w:tr>
      <w:tr w:rsidR="0009609E" w:rsidRPr="00E055A8" w14:paraId="373AEBD2" w14:textId="77777777" w:rsidTr="00E055A8">
        <w:trPr>
          <w:jc w:val="center"/>
        </w:trPr>
        <w:tc>
          <w:tcPr>
            <w:cnfStyle w:val="001000000000" w:firstRow="0" w:lastRow="0" w:firstColumn="1" w:lastColumn="0" w:oddVBand="0" w:evenVBand="0" w:oddHBand="0" w:evenHBand="0" w:firstRowFirstColumn="0" w:firstRowLastColumn="0" w:lastRowFirstColumn="0" w:lastRowLastColumn="0"/>
            <w:tcW w:w="3671" w:type="dxa"/>
          </w:tcPr>
          <w:p w14:paraId="487AAB06" w14:textId="77777777" w:rsidR="0009609E" w:rsidRPr="00E055A8" w:rsidRDefault="0009609E" w:rsidP="0009609E">
            <w:pPr>
              <w:ind w:hanging="31"/>
              <w:jc w:val="both"/>
              <w:rPr>
                <w:rFonts w:ascii="Times New Roman" w:hAnsi="Times New Roman" w:cs="Times New Roman"/>
                <w:b w:val="0"/>
                <w:color w:val="000000"/>
                <w:sz w:val="20"/>
                <w:szCs w:val="20"/>
              </w:rPr>
            </w:pPr>
            <w:r w:rsidRPr="00E055A8">
              <w:rPr>
                <w:rFonts w:ascii="Times New Roman" w:hAnsi="Times New Roman" w:cs="Times New Roman"/>
                <w:b w:val="0"/>
                <w:color w:val="000000"/>
                <w:sz w:val="20"/>
                <w:szCs w:val="20"/>
              </w:rPr>
              <w:t>8. Imports</w:t>
            </w:r>
          </w:p>
        </w:tc>
        <w:tc>
          <w:tcPr>
            <w:tcW w:w="1134" w:type="dxa"/>
          </w:tcPr>
          <w:p w14:paraId="24FFE3E4" w14:textId="77777777" w:rsidR="0009609E" w:rsidRPr="00E055A8" w:rsidRDefault="0009609E" w:rsidP="0009609E">
            <w:pPr>
              <w:ind w:hanging="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P7</w:t>
            </w:r>
          </w:p>
        </w:tc>
        <w:tc>
          <w:tcPr>
            <w:tcW w:w="992" w:type="dxa"/>
          </w:tcPr>
          <w:p w14:paraId="07D66C16"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12882,0</w:t>
            </w:r>
          </w:p>
        </w:tc>
        <w:tc>
          <w:tcPr>
            <w:tcW w:w="709" w:type="dxa"/>
          </w:tcPr>
          <w:p w14:paraId="47FD3BB1"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1,5</w:t>
            </w:r>
          </w:p>
        </w:tc>
        <w:tc>
          <w:tcPr>
            <w:tcW w:w="709" w:type="dxa"/>
          </w:tcPr>
          <w:p w14:paraId="58E7DBE0"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0,0</w:t>
            </w:r>
          </w:p>
        </w:tc>
        <w:tc>
          <w:tcPr>
            <w:tcW w:w="708" w:type="dxa"/>
          </w:tcPr>
          <w:p w14:paraId="51EB13C4"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4,2</w:t>
            </w:r>
          </w:p>
        </w:tc>
        <w:tc>
          <w:tcPr>
            <w:tcW w:w="709" w:type="dxa"/>
          </w:tcPr>
          <w:p w14:paraId="4262158D"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4,6</w:t>
            </w:r>
          </w:p>
        </w:tc>
        <w:tc>
          <w:tcPr>
            <w:tcW w:w="851" w:type="dxa"/>
          </w:tcPr>
          <w:p w14:paraId="47E1A9C6"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5,3</w:t>
            </w:r>
          </w:p>
        </w:tc>
      </w:tr>
      <w:tr w:rsidR="0009609E" w:rsidRPr="00E055A8" w14:paraId="3C3F1D05"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83" w:type="dxa"/>
            <w:gridSpan w:val="8"/>
          </w:tcPr>
          <w:p w14:paraId="6A75976D" w14:textId="77777777" w:rsidR="0009609E" w:rsidRPr="00E055A8" w:rsidRDefault="0009609E" w:rsidP="0009609E">
            <w:pPr>
              <w:ind w:hanging="31"/>
              <w:jc w:val="center"/>
              <w:rPr>
                <w:rFonts w:ascii="Times New Roman" w:hAnsi="Times New Roman" w:cs="Times New Roman"/>
                <w:color w:val="000000"/>
                <w:sz w:val="20"/>
                <w:szCs w:val="20"/>
              </w:rPr>
            </w:pPr>
            <w:r w:rsidRPr="00E055A8">
              <w:rPr>
                <w:rFonts w:ascii="Times New Roman" w:hAnsi="Times New Roman" w:cs="Times New Roman"/>
                <w:color w:val="000000"/>
                <w:sz w:val="20"/>
                <w:szCs w:val="20"/>
              </w:rPr>
              <w:t>Ieguldījums IKP izaugsmē</w:t>
            </w:r>
          </w:p>
        </w:tc>
      </w:tr>
      <w:tr w:rsidR="0009609E" w:rsidRPr="00E055A8" w14:paraId="7AD70343" w14:textId="77777777" w:rsidTr="00AC1747">
        <w:trPr>
          <w:jc w:val="center"/>
        </w:trPr>
        <w:tc>
          <w:tcPr>
            <w:cnfStyle w:val="001000000000" w:firstRow="0" w:lastRow="0" w:firstColumn="1" w:lastColumn="0" w:oddVBand="0" w:evenVBand="0" w:oddHBand="0" w:evenHBand="0" w:firstRowFirstColumn="0" w:firstRowLastColumn="0" w:lastRowFirstColumn="0" w:lastRowLastColumn="0"/>
            <w:tcW w:w="3671" w:type="dxa"/>
          </w:tcPr>
          <w:p w14:paraId="5C491C49" w14:textId="77777777" w:rsidR="0009609E" w:rsidRPr="00E055A8" w:rsidRDefault="0009609E" w:rsidP="0009609E">
            <w:pPr>
              <w:ind w:hanging="31"/>
              <w:jc w:val="both"/>
              <w:rPr>
                <w:rFonts w:ascii="Times New Roman" w:hAnsi="Times New Roman" w:cs="Times New Roman"/>
                <w:b w:val="0"/>
                <w:color w:val="000000"/>
                <w:sz w:val="20"/>
                <w:szCs w:val="20"/>
              </w:rPr>
            </w:pPr>
            <w:r w:rsidRPr="00E055A8">
              <w:rPr>
                <w:rFonts w:ascii="Times New Roman" w:hAnsi="Times New Roman" w:cs="Times New Roman"/>
                <w:b w:val="0"/>
                <w:color w:val="000000"/>
                <w:sz w:val="20"/>
                <w:szCs w:val="20"/>
              </w:rPr>
              <w:t>9. Kopējais iekšzemes pieprasījums</w:t>
            </w:r>
          </w:p>
        </w:tc>
        <w:tc>
          <w:tcPr>
            <w:tcW w:w="1134" w:type="dxa"/>
          </w:tcPr>
          <w:p w14:paraId="7BCF03B1" w14:textId="77777777" w:rsidR="0009609E" w:rsidRPr="00E055A8" w:rsidRDefault="0009609E" w:rsidP="0009609E">
            <w:pPr>
              <w:ind w:hanging="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992" w:type="dxa"/>
          </w:tcPr>
          <w:p w14:paraId="4FCDA213"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709" w:type="dxa"/>
            <w:vAlign w:val="center"/>
          </w:tcPr>
          <w:p w14:paraId="1ECF87A6" w14:textId="77777777" w:rsidR="0009609E" w:rsidRPr="00E055A8" w:rsidRDefault="0009609E" w:rsidP="00AC17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2,4</w:t>
            </w:r>
          </w:p>
        </w:tc>
        <w:tc>
          <w:tcPr>
            <w:tcW w:w="709" w:type="dxa"/>
            <w:vAlign w:val="center"/>
          </w:tcPr>
          <w:p w14:paraId="1A93AF7E" w14:textId="77777777" w:rsidR="0009609E" w:rsidRPr="00E055A8" w:rsidRDefault="0009609E" w:rsidP="00AC17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1,6</w:t>
            </w:r>
          </w:p>
        </w:tc>
        <w:tc>
          <w:tcPr>
            <w:tcW w:w="708" w:type="dxa"/>
            <w:vAlign w:val="center"/>
          </w:tcPr>
          <w:p w14:paraId="2EC0337D" w14:textId="77777777" w:rsidR="0009609E" w:rsidRPr="00E055A8" w:rsidRDefault="0009609E" w:rsidP="00AC17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3,2</w:t>
            </w:r>
          </w:p>
        </w:tc>
        <w:tc>
          <w:tcPr>
            <w:tcW w:w="709" w:type="dxa"/>
            <w:vAlign w:val="center"/>
          </w:tcPr>
          <w:p w14:paraId="1E841D86" w14:textId="77777777" w:rsidR="0009609E" w:rsidRPr="00E055A8" w:rsidRDefault="0009609E" w:rsidP="00AC17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3,7</w:t>
            </w:r>
          </w:p>
        </w:tc>
        <w:tc>
          <w:tcPr>
            <w:tcW w:w="851" w:type="dxa"/>
            <w:vAlign w:val="center"/>
          </w:tcPr>
          <w:p w14:paraId="4D6D72B9" w14:textId="77777777" w:rsidR="0009609E" w:rsidRPr="00E055A8" w:rsidRDefault="0009609E" w:rsidP="00AC17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3,8</w:t>
            </w:r>
          </w:p>
        </w:tc>
      </w:tr>
      <w:tr w:rsidR="0009609E" w:rsidRPr="00E055A8" w14:paraId="7D7465CE" w14:textId="77777777" w:rsidTr="00AC17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1" w:type="dxa"/>
          </w:tcPr>
          <w:p w14:paraId="25A51C4D" w14:textId="77777777" w:rsidR="0009609E" w:rsidRPr="00E055A8" w:rsidRDefault="0009609E" w:rsidP="0009609E">
            <w:pPr>
              <w:ind w:hanging="31"/>
              <w:jc w:val="both"/>
              <w:rPr>
                <w:rFonts w:ascii="Times New Roman" w:hAnsi="Times New Roman" w:cs="Times New Roman"/>
                <w:b w:val="0"/>
                <w:color w:val="000000"/>
                <w:sz w:val="20"/>
                <w:szCs w:val="20"/>
              </w:rPr>
            </w:pPr>
            <w:r w:rsidRPr="00E055A8">
              <w:rPr>
                <w:rFonts w:ascii="Times New Roman" w:hAnsi="Times New Roman" w:cs="Times New Roman"/>
                <w:b w:val="0"/>
                <w:color w:val="000000"/>
                <w:sz w:val="20"/>
                <w:szCs w:val="20"/>
              </w:rPr>
              <w:t xml:space="preserve">10. Krājumu pārmaiņas un vērtslietu iegāde </w:t>
            </w:r>
          </w:p>
        </w:tc>
        <w:tc>
          <w:tcPr>
            <w:tcW w:w="1134" w:type="dxa"/>
          </w:tcPr>
          <w:p w14:paraId="4A3B6C4C" w14:textId="77777777" w:rsidR="0009609E" w:rsidRPr="00E055A8" w:rsidRDefault="0009609E" w:rsidP="0009609E">
            <w:pPr>
              <w:ind w:hanging="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P52+P53</w:t>
            </w:r>
          </w:p>
        </w:tc>
        <w:tc>
          <w:tcPr>
            <w:tcW w:w="992" w:type="dxa"/>
          </w:tcPr>
          <w:p w14:paraId="64B66D88" w14:textId="77777777" w:rsidR="0009609E" w:rsidRPr="00E055A8" w:rsidRDefault="0009609E" w:rsidP="0009609E">
            <w:pPr>
              <w:ind w:hanging="3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709" w:type="dxa"/>
            <w:vAlign w:val="center"/>
          </w:tcPr>
          <w:p w14:paraId="4594F703" w14:textId="77777777" w:rsidR="0009609E" w:rsidRPr="00E055A8" w:rsidRDefault="0009609E" w:rsidP="00AC174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-0,3</w:t>
            </w:r>
          </w:p>
        </w:tc>
        <w:tc>
          <w:tcPr>
            <w:tcW w:w="709" w:type="dxa"/>
            <w:vAlign w:val="center"/>
          </w:tcPr>
          <w:p w14:paraId="7ED50A8C" w14:textId="77777777" w:rsidR="0009609E" w:rsidRPr="00E055A8" w:rsidRDefault="0009609E" w:rsidP="00AC174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0,0</w:t>
            </w:r>
          </w:p>
        </w:tc>
        <w:tc>
          <w:tcPr>
            <w:tcW w:w="708" w:type="dxa"/>
            <w:vAlign w:val="center"/>
          </w:tcPr>
          <w:p w14:paraId="4E02A29B" w14:textId="77777777" w:rsidR="0009609E" w:rsidRPr="00E055A8" w:rsidRDefault="0009609E" w:rsidP="00AC174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0,0</w:t>
            </w:r>
          </w:p>
        </w:tc>
        <w:tc>
          <w:tcPr>
            <w:tcW w:w="709" w:type="dxa"/>
            <w:vAlign w:val="center"/>
          </w:tcPr>
          <w:p w14:paraId="5624F6FD" w14:textId="77777777" w:rsidR="0009609E" w:rsidRPr="00E055A8" w:rsidRDefault="0009609E" w:rsidP="00AC174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0,0</w:t>
            </w:r>
          </w:p>
        </w:tc>
        <w:tc>
          <w:tcPr>
            <w:tcW w:w="851" w:type="dxa"/>
            <w:vAlign w:val="center"/>
          </w:tcPr>
          <w:p w14:paraId="63242A37" w14:textId="77777777" w:rsidR="0009609E" w:rsidRPr="00E055A8" w:rsidRDefault="0009609E" w:rsidP="00AC174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0,0</w:t>
            </w:r>
          </w:p>
        </w:tc>
      </w:tr>
      <w:tr w:rsidR="0009609E" w:rsidRPr="00E055A8" w14:paraId="7B5FA626" w14:textId="77777777" w:rsidTr="00AC1747">
        <w:trPr>
          <w:jc w:val="center"/>
        </w:trPr>
        <w:tc>
          <w:tcPr>
            <w:cnfStyle w:val="001000000000" w:firstRow="0" w:lastRow="0" w:firstColumn="1" w:lastColumn="0" w:oddVBand="0" w:evenVBand="0" w:oddHBand="0" w:evenHBand="0" w:firstRowFirstColumn="0" w:firstRowLastColumn="0" w:lastRowFirstColumn="0" w:lastRowLastColumn="0"/>
            <w:tcW w:w="3671" w:type="dxa"/>
          </w:tcPr>
          <w:p w14:paraId="75728A44" w14:textId="77777777" w:rsidR="0009609E" w:rsidRPr="00E055A8" w:rsidRDefault="0009609E" w:rsidP="0009609E">
            <w:pPr>
              <w:ind w:hanging="31"/>
              <w:jc w:val="both"/>
              <w:rPr>
                <w:rFonts w:ascii="Times New Roman" w:hAnsi="Times New Roman" w:cs="Times New Roman"/>
                <w:b w:val="0"/>
                <w:color w:val="000000"/>
                <w:sz w:val="20"/>
                <w:szCs w:val="20"/>
              </w:rPr>
            </w:pPr>
            <w:r w:rsidRPr="00E055A8">
              <w:rPr>
                <w:rFonts w:ascii="Times New Roman" w:hAnsi="Times New Roman" w:cs="Times New Roman"/>
                <w:b w:val="0"/>
                <w:color w:val="000000"/>
                <w:sz w:val="20"/>
                <w:szCs w:val="20"/>
              </w:rPr>
              <w:t>11. Preču un pakalpojumu ārējā sektora bilance</w:t>
            </w:r>
          </w:p>
        </w:tc>
        <w:tc>
          <w:tcPr>
            <w:tcW w:w="1134" w:type="dxa"/>
          </w:tcPr>
          <w:p w14:paraId="462F4B6A" w14:textId="77777777" w:rsidR="0009609E" w:rsidRPr="00E055A8" w:rsidRDefault="0009609E" w:rsidP="0009609E">
            <w:pPr>
              <w:ind w:hanging="3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B11</w:t>
            </w:r>
          </w:p>
        </w:tc>
        <w:tc>
          <w:tcPr>
            <w:tcW w:w="992" w:type="dxa"/>
          </w:tcPr>
          <w:p w14:paraId="1F6CECF7" w14:textId="77777777" w:rsidR="0009609E" w:rsidRPr="00E055A8" w:rsidRDefault="0009609E" w:rsidP="0009609E">
            <w:pPr>
              <w:ind w:hanging="3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709" w:type="dxa"/>
            <w:vAlign w:val="center"/>
          </w:tcPr>
          <w:p w14:paraId="30CB6FD6" w14:textId="77777777" w:rsidR="0009609E" w:rsidRPr="00E055A8" w:rsidRDefault="0009609E" w:rsidP="00AC17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0,2</w:t>
            </w:r>
          </w:p>
        </w:tc>
        <w:tc>
          <w:tcPr>
            <w:tcW w:w="709" w:type="dxa"/>
            <w:vAlign w:val="center"/>
          </w:tcPr>
          <w:p w14:paraId="078E2FC0" w14:textId="77777777" w:rsidR="0009609E" w:rsidRPr="00E055A8" w:rsidRDefault="0009609E" w:rsidP="00AC17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0,5</w:t>
            </w:r>
          </w:p>
        </w:tc>
        <w:tc>
          <w:tcPr>
            <w:tcW w:w="708" w:type="dxa"/>
            <w:vAlign w:val="center"/>
          </w:tcPr>
          <w:p w14:paraId="74CA8568" w14:textId="77777777" w:rsidR="0009609E" w:rsidRPr="00E055A8" w:rsidRDefault="0009609E" w:rsidP="00AC17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-0,2</w:t>
            </w:r>
          </w:p>
        </w:tc>
        <w:tc>
          <w:tcPr>
            <w:tcW w:w="709" w:type="dxa"/>
            <w:vAlign w:val="center"/>
          </w:tcPr>
          <w:p w14:paraId="186CCA83" w14:textId="77777777" w:rsidR="0009609E" w:rsidRPr="00E055A8" w:rsidRDefault="0009609E" w:rsidP="00AC17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-0,2</w:t>
            </w:r>
          </w:p>
        </w:tc>
        <w:tc>
          <w:tcPr>
            <w:tcW w:w="851" w:type="dxa"/>
            <w:vAlign w:val="center"/>
          </w:tcPr>
          <w:p w14:paraId="20A1D471" w14:textId="77777777" w:rsidR="0009609E" w:rsidRPr="00E055A8" w:rsidRDefault="0009609E" w:rsidP="00AC174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055A8">
              <w:rPr>
                <w:rFonts w:ascii="Times New Roman" w:hAnsi="Times New Roman" w:cs="Times New Roman"/>
                <w:color w:val="000000"/>
                <w:sz w:val="20"/>
                <w:szCs w:val="20"/>
              </w:rPr>
              <w:t>-0,3</w:t>
            </w:r>
          </w:p>
        </w:tc>
      </w:tr>
    </w:tbl>
    <w:p w14:paraId="1F75FB5D" w14:textId="77777777" w:rsidR="00F51615" w:rsidRPr="00F51615" w:rsidRDefault="00F51615" w:rsidP="0009609E">
      <w:pPr>
        <w:pStyle w:val="T"/>
        <w:ind w:left="0"/>
        <w:rPr>
          <w:rFonts w:ascii="Times New Roman" w:hAnsi="Times New Roman"/>
          <w:color w:val="000000"/>
          <w:sz w:val="20"/>
        </w:rPr>
      </w:pPr>
    </w:p>
    <w:p w14:paraId="0C38E67F" w14:textId="16EDC557" w:rsidR="00F51615" w:rsidRDefault="00C81719" w:rsidP="00F51615">
      <w:pPr>
        <w:pStyle w:val="T"/>
        <w:ind w:left="0"/>
        <w:rPr>
          <w:rFonts w:ascii="Times New Roman" w:hAnsi="Times New Roman"/>
          <w:color w:val="000000"/>
        </w:rPr>
      </w:pPr>
      <w:r>
        <w:rPr>
          <w:rFonts w:ascii="Times New Roman" w:hAnsi="Times New Roman"/>
          <w:color w:val="000000"/>
        </w:rPr>
        <w:t>1b.</w:t>
      </w:r>
      <w:r w:rsidR="00F51615" w:rsidRPr="00F51615">
        <w:rPr>
          <w:rFonts w:ascii="Times New Roman" w:hAnsi="Times New Roman"/>
          <w:color w:val="000000"/>
        </w:rPr>
        <w:t>tabula. Patēriņa cenu izmaiņas</w:t>
      </w:r>
    </w:p>
    <w:tbl>
      <w:tblPr>
        <w:tblStyle w:val="GridTable6ColorfulAccent1"/>
        <w:tblW w:w="9420" w:type="dxa"/>
        <w:jc w:val="center"/>
        <w:tblLayout w:type="fixed"/>
        <w:tblLook w:val="04A0" w:firstRow="1" w:lastRow="0" w:firstColumn="1" w:lastColumn="0" w:noHBand="0" w:noVBand="1"/>
      </w:tblPr>
      <w:tblGrid>
        <w:gridCol w:w="3554"/>
        <w:gridCol w:w="953"/>
        <w:gridCol w:w="973"/>
        <w:gridCol w:w="797"/>
        <w:gridCol w:w="797"/>
        <w:gridCol w:w="797"/>
        <w:gridCol w:w="783"/>
        <w:gridCol w:w="766"/>
      </w:tblGrid>
      <w:tr w:rsidR="00E055A8" w:rsidRPr="00E055A8" w14:paraId="1DCFF7A9" w14:textId="77777777" w:rsidTr="00E055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4" w:type="dxa"/>
          </w:tcPr>
          <w:p w14:paraId="7DEF4317" w14:textId="77777777" w:rsidR="0009609E" w:rsidRPr="00E055A8" w:rsidRDefault="0009609E" w:rsidP="0009609E">
            <w:pPr>
              <w:spacing w:line="256" w:lineRule="auto"/>
              <w:rPr>
                <w:rFonts w:ascii="Times New Roman" w:eastAsia="Times New Roman" w:hAnsi="Times New Roman" w:cs="Times New Roman"/>
                <w:color w:val="auto"/>
                <w:sz w:val="20"/>
                <w:szCs w:val="20"/>
              </w:rPr>
            </w:pPr>
          </w:p>
        </w:tc>
        <w:tc>
          <w:tcPr>
            <w:tcW w:w="953" w:type="dxa"/>
            <w:vAlign w:val="center"/>
            <w:hideMark/>
          </w:tcPr>
          <w:p w14:paraId="5EEDC8F5" w14:textId="23819E7B" w:rsidR="0009609E" w:rsidRPr="00E055A8" w:rsidRDefault="0009609E" w:rsidP="00E055A8">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E</w:t>
            </w:r>
            <w:r w:rsidR="00E055A8" w:rsidRPr="00E055A8">
              <w:rPr>
                <w:rFonts w:ascii="Times New Roman" w:eastAsia="Times New Roman" w:hAnsi="Times New Roman" w:cs="Times New Roman"/>
                <w:color w:val="auto"/>
                <w:sz w:val="20"/>
                <w:szCs w:val="20"/>
              </w:rPr>
              <w:t>KS</w:t>
            </w:r>
          </w:p>
          <w:p w14:paraId="634345BB" w14:textId="77777777" w:rsidR="0009609E" w:rsidRPr="00E055A8" w:rsidRDefault="0009609E" w:rsidP="00E055A8">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Kods</w:t>
            </w:r>
          </w:p>
        </w:tc>
        <w:tc>
          <w:tcPr>
            <w:tcW w:w="973" w:type="dxa"/>
            <w:vAlign w:val="center"/>
            <w:hideMark/>
          </w:tcPr>
          <w:p w14:paraId="26D6F1E6" w14:textId="77777777" w:rsidR="0009609E" w:rsidRPr="00E055A8" w:rsidRDefault="0009609E" w:rsidP="00E055A8">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2014</w:t>
            </w:r>
          </w:p>
        </w:tc>
        <w:tc>
          <w:tcPr>
            <w:tcW w:w="797" w:type="dxa"/>
            <w:vAlign w:val="center"/>
            <w:hideMark/>
          </w:tcPr>
          <w:p w14:paraId="1F0ACBAA" w14:textId="77777777" w:rsidR="0009609E" w:rsidRPr="00E055A8" w:rsidRDefault="0009609E" w:rsidP="00E055A8">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2014</w:t>
            </w:r>
          </w:p>
        </w:tc>
        <w:tc>
          <w:tcPr>
            <w:tcW w:w="797" w:type="dxa"/>
            <w:vAlign w:val="center"/>
            <w:hideMark/>
          </w:tcPr>
          <w:p w14:paraId="7C33FAB1" w14:textId="77777777" w:rsidR="0009609E" w:rsidRPr="00E055A8" w:rsidRDefault="0009609E" w:rsidP="00E055A8">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2015</w:t>
            </w:r>
          </w:p>
        </w:tc>
        <w:tc>
          <w:tcPr>
            <w:tcW w:w="797" w:type="dxa"/>
            <w:vAlign w:val="center"/>
            <w:hideMark/>
          </w:tcPr>
          <w:p w14:paraId="71255282" w14:textId="77777777" w:rsidR="0009609E" w:rsidRPr="00E055A8" w:rsidRDefault="0009609E" w:rsidP="00E055A8">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2016</w:t>
            </w:r>
          </w:p>
        </w:tc>
        <w:tc>
          <w:tcPr>
            <w:tcW w:w="783" w:type="dxa"/>
            <w:vAlign w:val="center"/>
            <w:hideMark/>
          </w:tcPr>
          <w:p w14:paraId="3FDB28F5" w14:textId="77777777" w:rsidR="0009609E" w:rsidRPr="00E055A8" w:rsidRDefault="0009609E" w:rsidP="00E055A8">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2017</w:t>
            </w:r>
          </w:p>
        </w:tc>
        <w:tc>
          <w:tcPr>
            <w:tcW w:w="766" w:type="dxa"/>
            <w:vAlign w:val="center"/>
            <w:hideMark/>
          </w:tcPr>
          <w:p w14:paraId="55BF0FDA" w14:textId="77777777" w:rsidR="0009609E" w:rsidRPr="00E055A8" w:rsidRDefault="0009609E" w:rsidP="00E055A8">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2018</w:t>
            </w:r>
          </w:p>
        </w:tc>
      </w:tr>
      <w:tr w:rsidR="00E055A8" w:rsidRPr="00E055A8" w14:paraId="2629E2CE" w14:textId="77777777" w:rsidTr="00E05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4" w:type="dxa"/>
          </w:tcPr>
          <w:p w14:paraId="4E5CE396" w14:textId="77777777" w:rsidR="0009609E" w:rsidRPr="00E055A8" w:rsidRDefault="0009609E" w:rsidP="0009609E">
            <w:pPr>
              <w:spacing w:line="256" w:lineRule="auto"/>
              <w:rPr>
                <w:rFonts w:ascii="Times New Roman" w:eastAsia="Times New Roman" w:hAnsi="Times New Roman" w:cs="Times New Roman"/>
                <w:snapToGrid w:val="0"/>
                <w:color w:val="auto"/>
                <w:sz w:val="20"/>
                <w:szCs w:val="20"/>
              </w:rPr>
            </w:pPr>
          </w:p>
        </w:tc>
        <w:tc>
          <w:tcPr>
            <w:tcW w:w="953" w:type="dxa"/>
          </w:tcPr>
          <w:p w14:paraId="5C93DF7C" w14:textId="77777777" w:rsidR="0009609E" w:rsidRPr="00E055A8" w:rsidRDefault="0009609E" w:rsidP="0009609E">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73" w:type="dxa"/>
            <w:hideMark/>
          </w:tcPr>
          <w:p w14:paraId="2FF18AC3" w14:textId="77777777" w:rsidR="0009609E" w:rsidRPr="00E055A8" w:rsidRDefault="0009609E" w:rsidP="0009609E">
            <w:pPr>
              <w:tabs>
                <w:tab w:val="decimal" w:pos="296"/>
              </w:tabs>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līmenis</w:t>
            </w:r>
          </w:p>
        </w:tc>
        <w:tc>
          <w:tcPr>
            <w:tcW w:w="3940" w:type="dxa"/>
            <w:gridSpan w:val="5"/>
            <w:hideMark/>
          </w:tcPr>
          <w:p w14:paraId="60653833" w14:textId="77777777" w:rsidR="0009609E" w:rsidRPr="00E055A8" w:rsidRDefault="0009609E" w:rsidP="0009609E">
            <w:pPr>
              <w:tabs>
                <w:tab w:val="decimal" w:pos="296"/>
              </w:tabs>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Pieaugums %</w:t>
            </w:r>
          </w:p>
        </w:tc>
      </w:tr>
      <w:tr w:rsidR="00E055A8" w:rsidRPr="00E055A8" w14:paraId="46DE9875" w14:textId="77777777" w:rsidTr="00AC1747">
        <w:trPr>
          <w:jc w:val="center"/>
        </w:trPr>
        <w:tc>
          <w:tcPr>
            <w:cnfStyle w:val="001000000000" w:firstRow="0" w:lastRow="0" w:firstColumn="1" w:lastColumn="0" w:oddVBand="0" w:evenVBand="0" w:oddHBand="0" w:evenHBand="0" w:firstRowFirstColumn="0" w:firstRowLastColumn="0" w:lastRowFirstColumn="0" w:lastRowLastColumn="0"/>
            <w:tcW w:w="3554" w:type="dxa"/>
            <w:hideMark/>
          </w:tcPr>
          <w:p w14:paraId="2FEED05A" w14:textId="77777777" w:rsidR="0009609E" w:rsidRPr="00E055A8" w:rsidRDefault="0009609E" w:rsidP="0009609E">
            <w:pPr>
              <w:spacing w:line="256" w:lineRule="auto"/>
              <w:rPr>
                <w:rFonts w:ascii="Times New Roman" w:eastAsia="Times New Roman" w:hAnsi="Times New Roman" w:cs="Times New Roman"/>
                <w:b w:val="0"/>
                <w:noProof/>
                <w:snapToGrid w:val="0"/>
                <w:color w:val="auto"/>
                <w:sz w:val="20"/>
                <w:szCs w:val="20"/>
              </w:rPr>
            </w:pPr>
            <w:r w:rsidRPr="00E055A8">
              <w:rPr>
                <w:rFonts w:ascii="Times New Roman" w:eastAsia="Times New Roman" w:hAnsi="Times New Roman" w:cs="Times New Roman"/>
                <w:b w:val="0"/>
                <w:noProof/>
                <w:snapToGrid w:val="0"/>
                <w:color w:val="auto"/>
                <w:sz w:val="20"/>
                <w:szCs w:val="20"/>
              </w:rPr>
              <w:t>1. IKP deflators</w:t>
            </w:r>
          </w:p>
        </w:tc>
        <w:tc>
          <w:tcPr>
            <w:tcW w:w="953" w:type="dxa"/>
          </w:tcPr>
          <w:p w14:paraId="77BBEC87" w14:textId="77777777" w:rsidR="0009609E" w:rsidRPr="00E055A8" w:rsidRDefault="0009609E" w:rsidP="0009609E">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973" w:type="dxa"/>
          </w:tcPr>
          <w:p w14:paraId="7F6DDD17" w14:textId="77777777" w:rsidR="0009609E" w:rsidRPr="00E055A8" w:rsidRDefault="0009609E" w:rsidP="0009609E">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797" w:type="dxa"/>
            <w:vAlign w:val="center"/>
            <w:hideMark/>
          </w:tcPr>
          <w:p w14:paraId="34C7CAD8"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1,2</w:t>
            </w:r>
          </w:p>
        </w:tc>
        <w:tc>
          <w:tcPr>
            <w:tcW w:w="797" w:type="dxa"/>
            <w:vAlign w:val="center"/>
            <w:hideMark/>
          </w:tcPr>
          <w:p w14:paraId="6FBD9450"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1,2</w:t>
            </w:r>
          </w:p>
        </w:tc>
        <w:tc>
          <w:tcPr>
            <w:tcW w:w="797" w:type="dxa"/>
            <w:vAlign w:val="center"/>
            <w:hideMark/>
          </w:tcPr>
          <w:p w14:paraId="56EFA4B7"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1,9</w:t>
            </w:r>
          </w:p>
        </w:tc>
        <w:tc>
          <w:tcPr>
            <w:tcW w:w="783" w:type="dxa"/>
            <w:vAlign w:val="center"/>
            <w:hideMark/>
          </w:tcPr>
          <w:p w14:paraId="428EF0CC"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2,5</w:t>
            </w:r>
          </w:p>
        </w:tc>
        <w:tc>
          <w:tcPr>
            <w:tcW w:w="766" w:type="dxa"/>
            <w:vAlign w:val="center"/>
            <w:hideMark/>
          </w:tcPr>
          <w:p w14:paraId="00B8A6AB"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2,5</w:t>
            </w:r>
          </w:p>
        </w:tc>
      </w:tr>
      <w:tr w:rsidR="00E055A8" w:rsidRPr="00E055A8" w14:paraId="00F9AA5C" w14:textId="77777777" w:rsidTr="00AC17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4" w:type="dxa"/>
            <w:hideMark/>
          </w:tcPr>
          <w:p w14:paraId="648B8C08" w14:textId="77777777" w:rsidR="0009609E" w:rsidRPr="00E055A8" w:rsidRDefault="0009609E" w:rsidP="0009609E">
            <w:pPr>
              <w:spacing w:line="256" w:lineRule="auto"/>
              <w:rPr>
                <w:rFonts w:ascii="Times New Roman" w:eastAsia="Times New Roman" w:hAnsi="Times New Roman" w:cs="Times New Roman"/>
                <w:b w:val="0"/>
                <w:noProof/>
                <w:snapToGrid w:val="0"/>
                <w:color w:val="auto"/>
                <w:sz w:val="20"/>
                <w:szCs w:val="20"/>
              </w:rPr>
            </w:pPr>
            <w:r w:rsidRPr="00E055A8">
              <w:rPr>
                <w:rFonts w:ascii="Times New Roman" w:eastAsia="Times New Roman" w:hAnsi="Times New Roman" w:cs="Times New Roman"/>
                <w:b w:val="0"/>
                <w:noProof/>
                <w:snapToGrid w:val="0"/>
                <w:color w:val="auto"/>
                <w:sz w:val="20"/>
                <w:szCs w:val="20"/>
              </w:rPr>
              <w:t>2. Privātā patēriņa deflators</w:t>
            </w:r>
          </w:p>
        </w:tc>
        <w:tc>
          <w:tcPr>
            <w:tcW w:w="953" w:type="dxa"/>
          </w:tcPr>
          <w:p w14:paraId="5887F7CE" w14:textId="77777777" w:rsidR="0009609E" w:rsidRPr="00E055A8" w:rsidRDefault="0009609E" w:rsidP="0009609E">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973" w:type="dxa"/>
          </w:tcPr>
          <w:p w14:paraId="733A7F10" w14:textId="77777777" w:rsidR="0009609E" w:rsidRPr="00E055A8" w:rsidRDefault="0009609E" w:rsidP="0009609E">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797" w:type="dxa"/>
            <w:vAlign w:val="center"/>
            <w:hideMark/>
          </w:tcPr>
          <w:p w14:paraId="262971DD"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0,6</w:t>
            </w:r>
          </w:p>
        </w:tc>
        <w:tc>
          <w:tcPr>
            <w:tcW w:w="797" w:type="dxa"/>
            <w:vAlign w:val="center"/>
            <w:hideMark/>
          </w:tcPr>
          <w:p w14:paraId="1F01F83D"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0,4</w:t>
            </w:r>
          </w:p>
        </w:tc>
        <w:tc>
          <w:tcPr>
            <w:tcW w:w="797" w:type="dxa"/>
            <w:vAlign w:val="center"/>
            <w:hideMark/>
          </w:tcPr>
          <w:p w14:paraId="299D048B"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1,9</w:t>
            </w:r>
          </w:p>
        </w:tc>
        <w:tc>
          <w:tcPr>
            <w:tcW w:w="783" w:type="dxa"/>
            <w:vAlign w:val="center"/>
            <w:hideMark/>
          </w:tcPr>
          <w:p w14:paraId="07C40DCF"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2,5</w:t>
            </w:r>
          </w:p>
        </w:tc>
        <w:tc>
          <w:tcPr>
            <w:tcW w:w="766" w:type="dxa"/>
            <w:vAlign w:val="center"/>
            <w:hideMark/>
          </w:tcPr>
          <w:p w14:paraId="0752725A"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2,5</w:t>
            </w:r>
          </w:p>
        </w:tc>
      </w:tr>
      <w:tr w:rsidR="00E055A8" w:rsidRPr="00E055A8" w14:paraId="75C12374" w14:textId="77777777" w:rsidTr="00AC1747">
        <w:trPr>
          <w:jc w:val="center"/>
        </w:trPr>
        <w:tc>
          <w:tcPr>
            <w:cnfStyle w:val="001000000000" w:firstRow="0" w:lastRow="0" w:firstColumn="1" w:lastColumn="0" w:oddVBand="0" w:evenVBand="0" w:oddHBand="0" w:evenHBand="0" w:firstRowFirstColumn="0" w:firstRowLastColumn="0" w:lastRowFirstColumn="0" w:lastRowLastColumn="0"/>
            <w:tcW w:w="3554" w:type="dxa"/>
            <w:hideMark/>
          </w:tcPr>
          <w:p w14:paraId="05093FBA" w14:textId="77777777" w:rsidR="0009609E" w:rsidRPr="00E055A8" w:rsidRDefault="0009609E" w:rsidP="0009609E">
            <w:pPr>
              <w:spacing w:line="256" w:lineRule="auto"/>
              <w:rPr>
                <w:rFonts w:ascii="Times New Roman" w:eastAsia="Times New Roman" w:hAnsi="Times New Roman" w:cs="Times New Roman"/>
                <w:b w:val="0"/>
                <w:noProof/>
                <w:snapToGrid w:val="0"/>
                <w:color w:val="auto"/>
                <w:sz w:val="20"/>
                <w:szCs w:val="20"/>
              </w:rPr>
            </w:pPr>
            <w:r w:rsidRPr="00E055A8">
              <w:rPr>
                <w:rFonts w:ascii="Times New Roman" w:eastAsia="Times New Roman" w:hAnsi="Times New Roman" w:cs="Times New Roman"/>
                <w:b w:val="0"/>
                <w:noProof/>
                <w:snapToGrid w:val="0"/>
                <w:color w:val="auto"/>
                <w:sz w:val="20"/>
                <w:szCs w:val="20"/>
              </w:rPr>
              <w:t xml:space="preserve">3. </w:t>
            </w:r>
            <w:r w:rsidRPr="00E055A8">
              <w:rPr>
                <w:rFonts w:ascii="Times New Roman" w:eastAsia="Times New Roman" w:hAnsi="Times New Roman" w:cs="Times New Roman"/>
                <w:b w:val="0"/>
                <w:noProof/>
                <w:color w:val="auto"/>
                <w:sz w:val="20"/>
                <w:szCs w:val="20"/>
              </w:rPr>
              <w:t>SPCI izmaiņas (gads pret gadu)</w:t>
            </w:r>
          </w:p>
        </w:tc>
        <w:tc>
          <w:tcPr>
            <w:tcW w:w="953" w:type="dxa"/>
          </w:tcPr>
          <w:p w14:paraId="4EDE6DCE" w14:textId="77777777" w:rsidR="0009609E" w:rsidRPr="00E055A8" w:rsidRDefault="0009609E" w:rsidP="0009609E">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973" w:type="dxa"/>
          </w:tcPr>
          <w:p w14:paraId="462755C1" w14:textId="77777777" w:rsidR="0009609E" w:rsidRPr="00E055A8" w:rsidRDefault="0009609E" w:rsidP="0009609E">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797" w:type="dxa"/>
            <w:vAlign w:val="center"/>
            <w:hideMark/>
          </w:tcPr>
          <w:p w14:paraId="6E11A680"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0,6</w:t>
            </w:r>
          </w:p>
        </w:tc>
        <w:tc>
          <w:tcPr>
            <w:tcW w:w="797" w:type="dxa"/>
            <w:vAlign w:val="center"/>
            <w:hideMark/>
          </w:tcPr>
          <w:p w14:paraId="362D7117"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0,4</w:t>
            </w:r>
          </w:p>
        </w:tc>
        <w:tc>
          <w:tcPr>
            <w:tcW w:w="797" w:type="dxa"/>
            <w:vAlign w:val="center"/>
            <w:hideMark/>
          </w:tcPr>
          <w:p w14:paraId="08584B1D"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1,9</w:t>
            </w:r>
          </w:p>
        </w:tc>
        <w:tc>
          <w:tcPr>
            <w:tcW w:w="783" w:type="dxa"/>
            <w:vAlign w:val="center"/>
            <w:hideMark/>
          </w:tcPr>
          <w:p w14:paraId="3E463D26"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2,5</w:t>
            </w:r>
          </w:p>
        </w:tc>
        <w:tc>
          <w:tcPr>
            <w:tcW w:w="766" w:type="dxa"/>
            <w:vAlign w:val="center"/>
            <w:hideMark/>
          </w:tcPr>
          <w:p w14:paraId="27A4BBB0"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2,5</w:t>
            </w:r>
          </w:p>
        </w:tc>
      </w:tr>
      <w:tr w:rsidR="00E055A8" w:rsidRPr="00E055A8" w14:paraId="5B8C5D03" w14:textId="77777777" w:rsidTr="00AC17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4" w:type="dxa"/>
            <w:hideMark/>
          </w:tcPr>
          <w:p w14:paraId="0D7A1526" w14:textId="77777777" w:rsidR="0009609E" w:rsidRPr="00E055A8" w:rsidRDefault="0009609E" w:rsidP="0009609E">
            <w:pPr>
              <w:spacing w:line="256" w:lineRule="auto"/>
              <w:rPr>
                <w:rFonts w:ascii="Times New Roman" w:eastAsia="Times New Roman" w:hAnsi="Times New Roman" w:cs="Times New Roman"/>
                <w:b w:val="0"/>
                <w:noProof/>
                <w:snapToGrid w:val="0"/>
                <w:color w:val="auto"/>
                <w:sz w:val="20"/>
                <w:szCs w:val="20"/>
              </w:rPr>
            </w:pPr>
            <w:r w:rsidRPr="00E055A8">
              <w:rPr>
                <w:rFonts w:ascii="Times New Roman" w:eastAsia="Times New Roman" w:hAnsi="Times New Roman" w:cs="Times New Roman"/>
                <w:b w:val="0"/>
                <w:noProof/>
                <w:snapToGrid w:val="0"/>
                <w:color w:val="auto"/>
                <w:sz w:val="20"/>
                <w:szCs w:val="20"/>
              </w:rPr>
              <w:t>4. Sabiedriskā patēriņa deflators</w:t>
            </w:r>
          </w:p>
        </w:tc>
        <w:tc>
          <w:tcPr>
            <w:tcW w:w="953" w:type="dxa"/>
          </w:tcPr>
          <w:p w14:paraId="1F8A1DF6" w14:textId="77777777" w:rsidR="0009609E" w:rsidRPr="00E055A8" w:rsidRDefault="0009609E" w:rsidP="0009609E">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973" w:type="dxa"/>
          </w:tcPr>
          <w:p w14:paraId="10AC20F7" w14:textId="77777777" w:rsidR="0009609E" w:rsidRPr="00E055A8" w:rsidRDefault="0009609E" w:rsidP="0009609E">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797" w:type="dxa"/>
            <w:vAlign w:val="center"/>
            <w:hideMark/>
          </w:tcPr>
          <w:p w14:paraId="367958DB"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-0,1</w:t>
            </w:r>
          </w:p>
        </w:tc>
        <w:tc>
          <w:tcPr>
            <w:tcW w:w="797" w:type="dxa"/>
            <w:vAlign w:val="center"/>
            <w:hideMark/>
          </w:tcPr>
          <w:p w14:paraId="68529B14"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0,0</w:t>
            </w:r>
          </w:p>
        </w:tc>
        <w:tc>
          <w:tcPr>
            <w:tcW w:w="797" w:type="dxa"/>
            <w:vAlign w:val="center"/>
            <w:hideMark/>
          </w:tcPr>
          <w:p w14:paraId="44144015"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1,0</w:t>
            </w:r>
          </w:p>
        </w:tc>
        <w:tc>
          <w:tcPr>
            <w:tcW w:w="783" w:type="dxa"/>
            <w:vAlign w:val="center"/>
            <w:hideMark/>
          </w:tcPr>
          <w:p w14:paraId="57EB3C18"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w:t>
            </w:r>
          </w:p>
        </w:tc>
        <w:tc>
          <w:tcPr>
            <w:tcW w:w="766" w:type="dxa"/>
            <w:vAlign w:val="center"/>
            <w:hideMark/>
          </w:tcPr>
          <w:p w14:paraId="766D5615"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w:t>
            </w:r>
          </w:p>
        </w:tc>
      </w:tr>
      <w:tr w:rsidR="00E055A8" w:rsidRPr="00E055A8" w14:paraId="7143B032" w14:textId="77777777" w:rsidTr="00AC1747">
        <w:trPr>
          <w:jc w:val="center"/>
        </w:trPr>
        <w:tc>
          <w:tcPr>
            <w:cnfStyle w:val="001000000000" w:firstRow="0" w:lastRow="0" w:firstColumn="1" w:lastColumn="0" w:oddVBand="0" w:evenVBand="0" w:oddHBand="0" w:evenHBand="0" w:firstRowFirstColumn="0" w:firstRowLastColumn="0" w:lastRowFirstColumn="0" w:lastRowLastColumn="0"/>
            <w:tcW w:w="3554" w:type="dxa"/>
            <w:hideMark/>
          </w:tcPr>
          <w:p w14:paraId="32D91FD2" w14:textId="77777777" w:rsidR="0009609E" w:rsidRPr="00E055A8" w:rsidRDefault="0009609E" w:rsidP="0009609E">
            <w:pPr>
              <w:spacing w:line="256" w:lineRule="auto"/>
              <w:rPr>
                <w:rFonts w:ascii="Times New Roman" w:eastAsia="Times New Roman" w:hAnsi="Times New Roman" w:cs="Times New Roman"/>
                <w:b w:val="0"/>
                <w:noProof/>
                <w:snapToGrid w:val="0"/>
                <w:color w:val="auto"/>
                <w:sz w:val="20"/>
                <w:szCs w:val="20"/>
              </w:rPr>
            </w:pPr>
            <w:r w:rsidRPr="00E055A8">
              <w:rPr>
                <w:rFonts w:ascii="Times New Roman" w:eastAsia="Times New Roman" w:hAnsi="Times New Roman" w:cs="Times New Roman"/>
                <w:b w:val="0"/>
                <w:noProof/>
                <w:snapToGrid w:val="0"/>
                <w:color w:val="auto"/>
                <w:sz w:val="20"/>
                <w:szCs w:val="20"/>
              </w:rPr>
              <w:t>5. Investīciju deflators</w:t>
            </w:r>
          </w:p>
        </w:tc>
        <w:tc>
          <w:tcPr>
            <w:tcW w:w="953" w:type="dxa"/>
          </w:tcPr>
          <w:p w14:paraId="4EA68C10" w14:textId="77777777" w:rsidR="0009609E" w:rsidRPr="00E055A8" w:rsidRDefault="0009609E" w:rsidP="0009609E">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73" w:type="dxa"/>
          </w:tcPr>
          <w:p w14:paraId="6658144E" w14:textId="77777777" w:rsidR="0009609E" w:rsidRPr="00E055A8" w:rsidRDefault="0009609E" w:rsidP="0009609E">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797" w:type="dxa"/>
            <w:vAlign w:val="center"/>
            <w:hideMark/>
          </w:tcPr>
          <w:p w14:paraId="5C0FF403"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1,8</w:t>
            </w:r>
          </w:p>
        </w:tc>
        <w:tc>
          <w:tcPr>
            <w:tcW w:w="797" w:type="dxa"/>
            <w:vAlign w:val="center"/>
            <w:hideMark/>
          </w:tcPr>
          <w:p w14:paraId="6B1104B5"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w:t>
            </w:r>
          </w:p>
        </w:tc>
        <w:tc>
          <w:tcPr>
            <w:tcW w:w="797" w:type="dxa"/>
            <w:vAlign w:val="center"/>
            <w:hideMark/>
          </w:tcPr>
          <w:p w14:paraId="06EE89FF"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2,6</w:t>
            </w:r>
          </w:p>
        </w:tc>
        <w:tc>
          <w:tcPr>
            <w:tcW w:w="783" w:type="dxa"/>
            <w:vAlign w:val="center"/>
            <w:hideMark/>
          </w:tcPr>
          <w:p w14:paraId="0830A108"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2,9</w:t>
            </w:r>
          </w:p>
        </w:tc>
        <w:tc>
          <w:tcPr>
            <w:tcW w:w="766" w:type="dxa"/>
            <w:vAlign w:val="center"/>
            <w:hideMark/>
          </w:tcPr>
          <w:p w14:paraId="4C9E5585"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2,9</w:t>
            </w:r>
          </w:p>
        </w:tc>
      </w:tr>
      <w:tr w:rsidR="00E055A8" w:rsidRPr="00E055A8" w14:paraId="5E04C1E5" w14:textId="77777777" w:rsidTr="00AC17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4" w:type="dxa"/>
            <w:hideMark/>
          </w:tcPr>
          <w:p w14:paraId="4CCB690C" w14:textId="77777777" w:rsidR="0009609E" w:rsidRPr="00E055A8" w:rsidRDefault="0009609E" w:rsidP="0009609E">
            <w:pPr>
              <w:spacing w:line="256" w:lineRule="auto"/>
              <w:rPr>
                <w:rFonts w:ascii="Times New Roman" w:eastAsia="Times New Roman" w:hAnsi="Times New Roman" w:cs="Times New Roman"/>
                <w:b w:val="0"/>
                <w:noProof/>
                <w:snapToGrid w:val="0"/>
                <w:color w:val="auto"/>
                <w:sz w:val="20"/>
                <w:szCs w:val="20"/>
              </w:rPr>
            </w:pPr>
            <w:r w:rsidRPr="00E055A8">
              <w:rPr>
                <w:rFonts w:ascii="Times New Roman" w:eastAsia="Times New Roman" w:hAnsi="Times New Roman" w:cs="Times New Roman"/>
                <w:b w:val="0"/>
                <w:noProof/>
                <w:snapToGrid w:val="0"/>
                <w:color w:val="auto"/>
                <w:sz w:val="20"/>
                <w:szCs w:val="20"/>
              </w:rPr>
              <w:t>6. Eksporta (preču un pakalpojumu) deflators</w:t>
            </w:r>
          </w:p>
        </w:tc>
        <w:tc>
          <w:tcPr>
            <w:tcW w:w="953" w:type="dxa"/>
          </w:tcPr>
          <w:p w14:paraId="3289C701" w14:textId="77777777" w:rsidR="0009609E" w:rsidRPr="00E055A8" w:rsidRDefault="0009609E" w:rsidP="0009609E">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73" w:type="dxa"/>
          </w:tcPr>
          <w:p w14:paraId="6AA43C70" w14:textId="77777777" w:rsidR="0009609E" w:rsidRPr="00E055A8" w:rsidRDefault="0009609E" w:rsidP="0009609E">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797" w:type="dxa"/>
            <w:vAlign w:val="center"/>
            <w:hideMark/>
          </w:tcPr>
          <w:p w14:paraId="39AF950A"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-1,0</w:t>
            </w:r>
          </w:p>
        </w:tc>
        <w:tc>
          <w:tcPr>
            <w:tcW w:w="797" w:type="dxa"/>
            <w:vAlign w:val="center"/>
            <w:hideMark/>
          </w:tcPr>
          <w:p w14:paraId="1FF5803E"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-1,3</w:t>
            </w:r>
          </w:p>
        </w:tc>
        <w:tc>
          <w:tcPr>
            <w:tcW w:w="797" w:type="dxa"/>
            <w:vAlign w:val="center"/>
            <w:hideMark/>
          </w:tcPr>
          <w:p w14:paraId="28459BAC"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1,0</w:t>
            </w:r>
          </w:p>
        </w:tc>
        <w:tc>
          <w:tcPr>
            <w:tcW w:w="783" w:type="dxa"/>
            <w:vAlign w:val="center"/>
            <w:hideMark/>
          </w:tcPr>
          <w:p w14:paraId="1171E476"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w:t>
            </w:r>
          </w:p>
        </w:tc>
        <w:tc>
          <w:tcPr>
            <w:tcW w:w="766" w:type="dxa"/>
            <w:vAlign w:val="center"/>
            <w:hideMark/>
          </w:tcPr>
          <w:p w14:paraId="59564793" w14:textId="77777777" w:rsidR="0009609E" w:rsidRPr="00E055A8" w:rsidRDefault="0009609E" w:rsidP="00AC1747">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w:t>
            </w:r>
          </w:p>
        </w:tc>
      </w:tr>
      <w:tr w:rsidR="00E055A8" w:rsidRPr="00E055A8" w14:paraId="3E624364" w14:textId="77777777" w:rsidTr="00AC1747">
        <w:trPr>
          <w:jc w:val="center"/>
        </w:trPr>
        <w:tc>
          <w:tcPr>
            <w:cnfStyle w:val="001000000000" w:firstRow="0" w:lastRow="0" w:firstColumn="1" w:lastColumn="0" w:oddVBand="0" w:evenVBand="0" w:oddHBand="0" w:evenHBand="0" w:firstRowFirstColumn="0" w:firstRowLastColumn="0" w:lastRowFirstColumn="0" w:lastRowLastColumn="0"/>
            <w:tcW w:w="3554" w:type="dxa"/>
            <w:hideMark/>
          </w:tcPr>
          <w:p w14:paraId="778F52D1" w14:textId="77777777" w:rsidR="0009609E" w:rsidRPr="00E055A8" w:rsidRDefault="0009609E" w:rsidP="0009609E">
            <w:pPr>
              <w:spacing w:line="256" w:lineRule="auto"/>
              <w:rPr>
                <w:rFonts w:ascii="Times New Roman" w:eastAsia="Times New Roman" w:hAnsi="Times New Roman" w:cs="Times New Roman"/>
                <w:b w:val="0"/>
                <w:noProof/>
                <w:snapToGrid w:val="0"/>
                <w:color w:val="auto"/>
                <w:sz w:val="20"/>
                <w:szCs w:val="20"/>
              </w:rPr>
            </w:pPr>
            <w:r w:rsidRPr="00E055A8">
              <w:rPr>
                <w:rFonts w:ascii="Times New Roman" w:eastAsia="Times New Roman" w:hAnsi="Times New Roman" w:cs="Times New Roman"/>
                <w:b w:val="0"/>
                <w:noProof/>
                <w:snapToGrid w:val="0"/>
                <w:color w:val="auto"/>
                <w:sz w:val="20"/>
                <w:szCs w:val="20"/>
              </w:rPr>
              <w:t>7. Importa (preču un pakalpojumu) deflators</w:t>
            </w:r>
          </w:p>
        </w:tc>
        <w:tc>
          <w:tcPr>
            <w:tcW w:w="953" w:type="dxa"/>
          </w:tcPr>
          <w:p w14:paraId="506919F4" w14:textId="77777777" w:rsidR="0009609E" w:rsidRPr="00E055A8" w:rsidRDefault="0009609E" w:rsidP="0009609E">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73" w:type="dxa"/>
          </w:tcPr>
          <w:p w14:paraId="6B15938F" w14:textId="77777777" w:rsidR="0009609E" w:rsidRPr="00E055A8" w:rsidRDefault="0009609E" w:rsidP="0009609E">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797" w:type="dxa"/>
            <w:vAlign w:val="center"/>
            <w:hideMark/>
          </w:tcPr>
          <w:p w14:paraId="35CAC0B2"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-0,3</w:t>
            </w:r>
          </w:p>
        </w:tc>
        <w:tc>
          <w:tcPr>
            <w:tcW w:w="797" w:type="dxa"/>
            <w:vAlign w:val="center"/>
            <w:hideMark/>
          </w:tcPr>
          <w:p w14:paraId="3E4F4E4C"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w:t>
            </w:r>
          </w:p>
        </w:tc>
        <w:tc>
          <w:tcPr>
            <w:tcW w:w="797" w:type="dxa"/>
            <w:vAlign w:val="center"/>
            <w:hideMark/>
          </w:tcPr>
          <w:p w14:paraId="037B8717"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1,0</w:t>
            </w:r>
          </w:p>
        </w:tc>
        <w:tc>
          <w:tcPr>
            <w:tcW w:w="783" w:type="dxa"/>
            <w:vAlign w:val="center"/>
            <w:hideMark/>
          </w:tcPr>
          <w:p w14:paraId="34FA29CA"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w:t>
            </w:r>
          </w:p>
        </w:tc>
        <w:tc>
          <w:tcPr>
            <w:tcW w:w="766" w:type="dxa"/>
            <w:vAlign w:val="center"/>
            <w:hideMark/>
          </w:tcPr>
          <w:p w14:paraId="7C21F934" w14:textId="77777777" w:rsidR="0009609E" w:rsidRPr="00E055A8" w:rsidRDefault="0009609E" w:rsidP="00AC1747">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2,0</w:t>
            </w:r>
          </w:p>
        </w:tc>
      </w:tr>
    </w:tbl>
    <w:p w14:paraId="5AC024C6" w14:textId="77777777" w:rsidR="00F51615" w:rsidRPr="00F51615" w:rsidRDefault="00F51615" w:rsidP="00F51615">
      <w:pPr>
        <w:rPr>
          <w:rFonts w:ascii="Times New Roman" w:hAnsi="Times New Roman" w:cs="Times New Roman"/>
          <w:b/>
          <w:color w:val="000000"/>
        </w:rPr>
      </w:pPr>
    </w:p>
    <w:p w14:paraId="184FAAC8" w14:textId="3AB8549A" w:rsidR="00F51615" w:rsidRPr="00C81719" w:rsidRDefault="00C81719" w:rsidP="00F51615">
      <w:pPr>
        <w:rPr>
          <w:rFonts w:ascii="Times New Roman" w:hAnsi="Times New Roman" w:cs="Times New Roman"/>
          <w:b/>
          <w:color w:val="000000"/>
          <w:sz w:val="24"/>
        </w:rPr>
      </w:pPr>
      <w:r>
        <w:rPr>
          <w:rFonts w:ascii="Times New Roman" w:hAnsi="Times New Roman" w:cs="Times New Roman"/>
          <w:b/>
          <w:color w:val="000000"/>
          <w:sz w:val="24"/>
        </w:rPr>
        <w:t>1c.</w:t>
      </w:r>
      <w:r w:rsidR="00F51615" w:rsidRPr="00C81719">
        <w:rPr>
          <w:rFonts w:ascii="Times New Roman" w:hAnsi="Times New Roman" w:cs="Times New Roman"/>
          <w:b/>
          <w:color w:val="000000"/>
          <w:sz w:val="24"/>
        </w:rPr>
        <w:t>tabula. Darba tirgus attīstība</w:t>
      </w:r>
    </w:p>
    <w:tbl>
      <w:tblPr>
        <w:tblStyle w:val="GridTable6ColorfulAccent1"/>
        <w:tblW w:w="9420" w:type="dxa"/>
        <w:jc w:val="center"/>
        <w:tblLayout w:type="fixed"/>
        <w:tblLook w:val="04A0" w:firstRow="1" w:lastRow="0" w:firstColumn="1" w:lastColumn="0" w:noHBand="0" w:noVBand="1"/>
      </w:tblPr>
      <w:tblGrid>
        <w:gridCol w:w="3451"/>
        <w:gridCol w:w="859"/>
        <w:gridCol w:w="1345"/>
        <w:gridCol w:w="639"/>
        <w:gridCol w:w="858"/>
        <w:gridCol w:w="859"/>
        <w:gridCol w:w="714"/>
        <w:gridCol w:w="695"/>
      </w:tblGrid>
      <w:tr w:rsidR="00E055A8" w:rsidRPr="00E055A8" w14:paraId="4D601F66" w14:textId="77777777" w:rsidTr="00F11D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1" w:type="dxa"/>
          </w:tcPr>
          <w:p w14:paraId="43576EE2" w14:textId="77777777" w:rsidR="0009609E" w:rsidRPr="00E055A8" w:rsidRDefault="0009609E" w:rsidP="0009609E">
            <w:pPr>
              <w:rPr>
                <w:rFonts w:ascii="Times New Roman" w:eastAsia="Times New Roman" w:hAnsi="Times New Roman" w:cs="Times New Roman"/>
                <w:color w:val="auto"/>
                <w:sz w:val="20"/>
                <w:szCs w:val="20"/>
              </w:rPr>
            </w:pPr>
          </w:p>
        </w:tc>
        <w:tc>
          <w:tcPr>
            <w:tcW w:w="859" w:type="dxa"/>
            <w:vAlign w:val="center"/>
          </w:tcPr>
          <w:p w14:paraId="0C459EBC"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11D34">
              <w:rPr>
                <w:rFonts w:ascii="Times New Roman" w:eastAsia="Times New Roman" w:hAnsi="Times New Roman" w:cs="Times New Roman"/>
                <w:color w:val="auto"/>
                <w:sz w:val="20"/>
                <w:szCs w:val="20"/>
              </w:rPr>
              <w:t>EKS</w:t>
            </w:r>
          </w:p>
          <w:p w14:paraId="65E74279"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11D34">
              <w:rPr>
                <w:rFonts w:ascii="Times New Roman" w:eastAsia="Times New Roman" w:hAnsi="Times New Roman" w:cs="Times New Roman"/>
                <w:color w:val="auto"/>
                <w:sz w:val="20"/>
                <w:szCs w:val="20"/>
              </w:rPr>
              <w:t>Kods</w:t>
            </w:r>
          </w:p>
        </w:tc>
        <w:tc>
          <w:tcPr>
            <w:tcW w:w="1345" w:type="dxa"/>
            <w:vAlign w:val="center"/>
          </w:tcPr>
          <w:p w14:paraId="73EE144A"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11D34">
              <w:rPr>
                <w:rFonts w:ascii="Times New Roman" w:eastAsia="Times New Roman" w:hAnsi="Times New Roman" w:cs="Times New Roman"/>
                <w:color w:val="auto"/>
                <w:sz w:val="20"/>
                <w:szCs w:val="20"/>
              </w:rPr>
              <w:t>2014</w:t>
            </w:r>
          </w:p>
        </w:tc>
        <w:tc>
          <w:tcPr>
            <w:tcW w:w="639" w:type="dxa"/>
            <w:vAlign w:val="center"/>
          </w:tcPr>
          <w:p w14:paraId="0F8D5026"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11D34">
              <w:rPr>
                <w:rFonts w:ascii="Times New Roman" w:eastAsia="Times New Roman" w:hAnsi="Times New Roman" w:cs="Times New Roman"/>
                <w:color w:val="auto"/>
                <w:sz w:val="20"/>
                <w:szCs w:val="20"/>
              </w:rPr>
              <w:t>2014</w:t>
            </w:r>
          </w:p>
        </w:tc>
        <w:tc>
          <w:tcPr>
            <w:tcW w:w="858" w:type="dxa"/>
            <w:vAlign w:val="center"/>
          </w:tcPr>
          <w:p w14:paraId="3B487F9F"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11D34">
              <w:rPr>
                <w:rFonts w:ascii="Times New Roman" w:eastAsia="Times New Roman" w:hAnsi="Times New Roman" w:cs="Times New Roman"/>
                <w:color w:val="auto"/>
                <w:sz w:val="20"/>
                <w:szCs w:val="20"/>
              </w:rPr>
              <w:t>2015</w:t>
            </w:r>
          </w:p>
        </w:tc>
        <w:tc>
          <w:tcPr>
            <w:tcW w:w="859" w:type="dxa"/>
            <w:vAlign w:val="center"/>
          </w:tcPr>
          <w:p w14:paraId="6754CAFB"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11D34">
              <w:rPr>
                <w:rFonts w:ascii="Times New Roman" w:eastAsia="Times New Roman" w:hAnsi="Times New Roman" w:cs="Times New Roman"/>
                <w:color w:val="auto"/>
                <w:sz w:val="20"/>
                <w:szCs w:val="20"/>
              </w:rPr>
              <w:t>2016</w:t>
            </w:r>
          </w:p>
        </w:tc>
        <w:tc>
          <w:tcPr>
            <w:tcW w:w="714" w:type="dxa"/>
            <w:vAlign w:val="center"/>
          </w:tcPr>
          <w:p w14:paraId="3AFBDF51"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11D34">
              <w:rPr>
                <w:rFonts w:ascii="Times New Roman" w:eastAsia="Times New Roman" w:hAnsi="Times New Roman" w:cs="Times New Roman"/>
                <w:color w:val="auto"/>
                <w:sz w:val="20"/>
                <w:szCs w:val="20"/>
              </w:rPr>
              <w:t>2017</w:t>
            </w:r>
          </w:p>
        </w:tc>
        <w:tc>
          <w:tcPr>
            <w:tcW w:w="695" w:type="dxa"/>
            <w:vAlign w:val="center"/>
          </w:tcPr>
          <w:p w14:paraId="6BB301FC"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11D34">
              <w:rPr>
                <w:rFonts w:ascii="Times New Roman" w:eastAsia="Times New Roman" w:hAnsi="Times New Roman" w:cs="Times New Roman"/>
                <w:color w:val="auto"/>
                <w:sz w:val="20"/>
                <w:szCs w:val="20"/>
              </w:rPr>
              <w:t>2018</w:t>
            </w:r>
          </w:p>
        </w:tc>
      </w:tr>
      <w:tr w:rsidR="00F11D34" w:rsidRPr="00E055A8" w14:paraId="060A5B88" w14:textId="77777777" w:rsidTr="00302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1" w:type="dxa"/>
          </w:tcPr>
          <w:p w14:paraId="45D58124" w14:textId="77777777" w:rsidR="00F11D34" w:rsidRPr="00E055A8" w:rsidRDefault="00F11D34" w:rsidP="00F11D34">
            <w:pPr>
              <w:jc w:val="center"/>
              <w:rPr>
                <w:rFonts w:ascii="Times New Roman" w:eastAsia="Times New Roman" w:hAnsi="Times New Roman" w:cs="Times New Roman"/>
                <w:sz w:val="20"/>
                <w:szCs w:val="20"/>
              </w:rPr>
            </w:pPr>
          </w:p>
        </w:tc>
        <w:tc>
          <w:tcPr>
            <w:tcW w:w="859" w:type="dxa"/>
          </w:tcPr>
          <w:p w14:paraId="2AC81F11" w14:textId="77777777" w:rsidR="00F11D34" w:rsidRPr="00E055A8" w:rsidRDefault="00F11D34" w:rsidP="00F11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345" w:type="dxa"/>
          </w:tcPr>
          <w:p w14:paraId="5A5C929C" w14:textId="68E682F2" w:rsidR="00F11D34" w:rsidRPr="00E055A8" w:rsidRDefault="00F11D34" w:rsidP="00F11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E055A8">
              <w:rPr>
                <w:rFonts w:ascii="Times New Roman" w:eastAsia="Times New Roman" w:hAnsi="Times New Roman" w:cs="Times New Roman"/>
                <w:color w:val="auto"/>
                <w:sz w:val="20"/>
                <w:szCs w:val="20"/>
              </w:rPr>
              <w:t>Līmenis</w:t>
            </w:r>
          </w:p>
        </w:tc>
        <w:tc>
          <w:tcPr>
            <w:tcW w:w="3765" w:type="dxa"/>
            <w:gridSpan w:val="5"/>
          </w:tcPr>
          <w:p w14:paraId="668B38AE" w14:textId="166DC690" w:rsidR="00F11D34" w:rsidRPr="00E055A8" w:rsidRDefault="00F11D34" w:rsidP="00F11D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E055A8">
              <w:rPr>
                <w:rFonts w:ascii="Times New Roman" w:eastAsia="Times New Roman" w:hAnsi="Times New Roman" w:cs="Times New Roman"/>
                <w:color w:val="auto"/>
                <w:sz w:val="20"/>
                <w:szCs w:val="20"/>
              </w:rPr>
              <w:t>Pieaugums %</w:t>
            </w:r>
          </w:p>
        </w:tc>
      </w:tr>
      <w:tr w:rsidR="00E055A8" w:rsidRPr="00E055A8" w14:paraId="639DE527" w14:textId="77777777" w:rsidTr="00F11D34">
        <w:trPr>
          <w:jc w:val="center"/>
        </w:trPr>
        <w:tc>
          <w:tcPr>
            <w:cnfStyle w:val="001000000000" w:firstRow="0" w:lastRow="0" w:firstColumn="1" w:lastColumn="0" w:oddVBand="0" w:evenVBand="0" w:oddHBand="0" w:evenHBand="0" w:firstRowFirstColumn="0" w:firstRowLastColumn="0" w:lastRowFirstColumn="0" w:lastRowLastColumn="0"/>
            <w:tcW w:w="3451" w:type="dxa"/>
          </w:tcPr>
          <w:p w14:paraId="67C96529" w14:textId="77777777" w:rsidR="0009609E" w:rsidRPr="00B5365D" w:rsidRDefault="0009609E" w:rsidP="0009609E">
            <w:pPr>
              <w:spacing w:line="276" w:lineRule="auto"/>
              <w:rPr>
                <w:rFonts w:ascii="Times New Roman" w:eastAsia="Times New Roman" w:hAnsi="Times New Roman" w:cs="Times New Roman"/>
                <w:b w:val="0"/>
                <w:snapToGrid w:val="0"/>
                <w:color w:val="auto"/>
                <w:sz w:val="20"/>
                <w:szCs w:val="20"/>
              </w:rPr>
            </w:pPr>
            <w:r w:rsidRPr="00B5365D">
              <w:rPr>
                <w:rFonts w:ascii="Times New Roman" w:eastAsia="Times New Roman" w:hAnsi="Times New Roman" w:cs="Times New Roman"/>
                <w:b w:val="0"/>
                <w:snapToGrid w:val="0"/>
                <w:color w:val="auto"/>
                <w:sz w:val="20"/>
                <w:szCs w:val="20"/>
              </w:rPr>
              <w:t>1. Nodarbinātība, cilvēki, tūkst</w:t>
            </w:r>
          </w:p>
        </w:tc>
        <w:tc>
          <w:tcPr>
            <w:tcW w:w="859" w:type="dxa"/>
          </w:tcPr>
          <w:p w14:paraId="343AC4A4" w14:textId="77777777" w:rsidR="0009609E" w:rsidRPr="00E055A8" w:rsidRDefault="0009609E" w:rsidP="000960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1345" w:type="dxa"/>
            <w:vAlign w:val="center"/>
          </w:tcPr>
          <w:p w14:paraId="4D968CE3"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884,6</w:t>
            </w:r>
          </w:p>
        </w:tc>
        <w:tc>
          <w:tcPr>
            <w:tcW w:w="639" w:type="dxa"/>
            <w:vAlign w:val="center"/>
          </w:tcPr>
          <w:p w14:paraId="23A7BAFB"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-1,0</w:t>
            </w:r>
          </w:p>
        </w:tc>
        <w:tc>
          <w:tcPr>
            <w:tcW w:w="858" w:type="dxa"/>
            <w:vAlign w:val="center"/>
          </w:tcPr>
          <w:p w14:paraId="74BCF2D7"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0,0</w:t>
            </w:r>
          </w:p>
        </w:tc>
        <w:tc>
          <w:tcPr>
            <w:tcW w:w="859" w:type="dxa"/>
            <w:vAlign w:val="center"/>
          </w:tcPr>
          <w:p w14:paraId="0FBD2323"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0,2</w:t>
            </w:r>
          </w:p>
        </w:tc>
        <w:tc>
          <w:tcPr>
            <w:tcW w:w="714" w:type="dxa"/>
            <w:vAlign w:val="center"/>
          </w:tcPr>
          <w:p w14:paraId="65F9A119"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0,4</w:t>
            </w:r>
          </w:p>
        </w:tc>
        <w:tc>
          <w:tcPr>
            <w:tcW w:w="695" w:type="dxa"/>
            <w:vAlign w:val="center"/>
          </w:tcPr>
          <w:p w14:paraId="34A61C71"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0,4</w:t>
            </w:r>
          </w:p>
        </w:tc>
      </w:tr>
      <w:tr w:rsidR="00E055A8" w:rsidRPr="00E055A8" w14:paraId="21EDA161" w14:textId="77777777" w:rsidTr="00F11D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1" w:type="dxa"/>
          </w:tcPr>
          <w:p w14:paraId="3B6CFBA9" w14:textId="77777777" w:rsidR="0009609E" w:rsidRPr="00B5365D" w:rsidRDefault="0009609E" w:rsidP="0009609E">
            <w:pPr>
              <w:spacing w:line="276" w:lineRule="auto"/>
              <w:rPr>
                <w:rFonts w:ascii="Times New Roman" w:eastAsia="Times New Roman" w:hAnsi="Times New Roman" w:cs="Times New Roman"/>
                <w:b w:val="0"/>
                <w:snapToGrid w:val="0"/>
                <w:color w:val="auto"/>
                <w:sz w:val="20"/>
                <w:szCs w:val="20"/>
              </w:rPr>
            </w:pPr>
            <w:r w:rsidRPr="00B5365D">
              <w:rPr>
                <w:rFonts w:ascii="Times New Roman" w:eastAsia="Times New Roman" w:hAnsi="Times New Roman" w:cs="Times New Roman"/>
                <w:b w:val="0"/>
                <w:snapToGrid w:val="0"/>
                <w:color w:val="auto"/>
                <w:sz w:val="20"/>
                <w:szCs w:val="20"/>
              </w:rPr>
              <w:t>2. Nodarbinātība, darba stundas</w:t>
            </w:r>
          </w:p>
        </w:tc>
        <w:tc>
          <w:tcPr>
            <w:tcW w:w="859" w:type="dxa"/>
          </w:tcPr>
          <w:p w14:paraId="5EFF4AD9" w14:textId="77777777" w:rsidR="0009609E" w:rsidRPr="00E055A8" w:rsidRDefault="0009609E" w:rsidP="000960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1345" w:type="dxa"/>
            <w:vAlign w:val="center"/>
          </w:tcPr>
          <w:p w14:paraId="02E7597A" w14:textId="77777777" w:rsidR="0009609E" w:rsidRPr="00E055A8" w:rsidRDefault="0009609E" w:rsidP="00F11D34">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1303265233</w:t>
            </w:r>
          </w:p>
        </w:tc>
        <w:tc>
          <w:tcPr>
            <w:tcW w:w="639" w:type="dxa"/>
            <w:vAlign w:val="center"/>
          </w:tcPr>
          <w:p w14:paraId="00604D5B" w14:textId="77777777" w:rsidR="0009609E" w:rsidRPr="00E055A8" w:rsidRDefault="0009609E" w:rsidP="00F11D34">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1,0</w:t>
            </w:r>
          </w:p>
        </w:tc>
        <w:tc>
          <w:tcPr>
            <w:tcW w:w="858" w:type="dxa"/>
            <w:vAlign w:val="center"/>
          </w:tcPr>
          <w:p w14:paraId="098439BC" w14:textId="77777777" w:rsidR="0009609E" w:rsidRPr="00E055A8" w:rsidRDefault="0009609E" w:rsidP="00F11D34">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0,0</w:t>
            </w:r>
          </w:p>
        </w:tc>
        <w:tc>
          <w:tcPr>
            <w:tcW w:w="859" w:type="dxa"/>
            <w:vAlign w:val="center"/>
          </w:tcPr>
          <w:p w14:paraId="30A7A913" w14:textId="77777777" w:rsidR="0009609E" w:rsidRPr="00E055A8" w:rsidRDefault="0009609E"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color w:val="auto"/>
                <w:sz w:val="20"/>
                <w:szCs w:val="20"/>
                <w:highlight w:val="yellow"/>
              </w:rPr>
            </w:pPr>
            <w:r w:rsidRPr="00E055A8">
              <w:rPr>
                <w:rFonts w:ascii="Times New Roman" w:eastAsia="Times New Roman" w:hAnsi="Times New Roman" w:cs="Times New Roman"/>
                <w:color w:val="auto"/>
                <w:sz w:val="20"/>
                <w:szCs w:val="20"/>
              </w:rPr>
              <w:t>0,2</w:t>
            </w:r>
          </w:p>
        </w:tc>
        <w:tc>
          <w:tcPr>
            <w:tcW w:w="714" w:type="dxa"/>
            <w:vAlign w:val="center"/>
          </w:tcPr>
          <w:p w14:paraId="2B0E07F1" w14:textId="77777777" w:rsidR="0009609E" w:rsidRPr="00E055A8" w:rsidRDefault="0009609E"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color w:val="auto"/>
                <w:sz w:val="20"/>
                <w:szCs w:val="20"/>
                <w:highlight w:val="yellow"/>
              </w:rPr>
            </w:pPr>
            <w:r w:rsidRPr="00E055A8">
              <w:rPr>
                <w:rFonts w:ascii="Times New Roman" w:eastAsia="Times New Roman" w:hAnsi="Times New Roman" w:cs="Times New Roman"/>
                <w:color w:val="auto"/>
                <w:sz w:val="20"/>
                <w:szCs w:val="20"/>
              </w:rPr>
              <w:t>0,4</w:t>
            </w:r>
          </w:p>
        </w:tc>
        <w:tc>
          <w:tcPr>
            <w:tcW w:w="695" w:type="dxa"/>
            <w:vAlign w:val="center"/>
          </w:tcPr>
          <w:p w14:paraId="54537CF5" w14:textId="77777777" w:rsidR="0009609E" w:rsidRPr="00E055A8" w:rsidRDefault="0009609E"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color w:val="auto"/>
                <w:sz w:val="20"/>
                <w:szCs w:val="20"/>
                <w:highlight w:val="yellow"/>
              </w:rPr>
            </w:pPr>
            <w:r w:rsidRPr="00E055A8">
              <w:rPr>
                <w:rFonts w:ascii="Times New Roman" w:eastAsia="Times New Roman" w:hAnsi="Times New Roman" w:cs="Times New Roman"/>
                <w:color w:val="auto"/>
                <w:sz w:val="20"/>
                <w:szCs w:val="20"/>
              </w:rPr>
              <w:t>0,4</w:t>
            </w:r>
          </w:p>
        </w:tc>
      </w:tr>
      <w:tr w:rsidR="00E055A8" w:rsidRPr="00E055A8" w14:paraId="78CF8A01" w14:textId="77777777" w:rsidTr="00F11D34">
        <w:trPr>
          <w:jc w:val="center"/>
        </w:trPr>
        <w:tc>
          <w:tcPr>
            <w:cnfStyle w:val="001000000000" w:firstRow="0" w:lastRow="0" w:firstColumn="1" w:lastColumn="0" w:oddVBand="0" w:evenVBand="0" w:oddHBand="0" w:evenHBand="0" w:firstRowFirstColumn="0" w:firstRowLastColumn="0" w:lastRowFirstColumn="0" w:lastRowLastColumn="0"/>
            <w:tcW w:w="3451" w:type="dxa"/>
          </w:tcPr>
          <w:p w14:paraId="3454C448" w14:textId="77777777" w:rsidR="0009609E" w:rsidRPr="00B5365D" w:rsidRDefault="0009609E" w:rsidP="0009609E">
            <w:pPr>
              <w:spacing w:line="276" w:lineRule="auto"/>
              <w:rPr>
                <w:rFonts w:ascii="Times New Roman" w:eastAsia="Times New Roman" w:hAnsi="Times New Roman" w:cs="Times New Roman"/>
                <w:b w:val="0"/>
                <w:snapToGrid w:val="0"/>
                <w:color w:val="auto"/>
                <w:sz w:val="20"/>
                <w:szCs w:val="20"/>
              </w:rPr>
            </w:pPr>
            <w:r w:rsidRPr="00B5365D">
              <w:rPr>
                <w:rFonts w:ascii="Times New Roman" w:eastAsia="Times New Roman" w:hAnsi="Times New Roman" w:cs="Times New Roman"/>
                <w:b w:val="0"/>
                <w:snapToGrid w:val="0"/>
                <w:color w:val="auto"/>
                <w:sz w:val="20"/>
                <w:szCs w:val="20"/>
              </w:rPr>
              <w:t>3. Bezdarba līmenis (%)</w:t>
            </w:r>
          </w:p>
        </w:tc>
        <w:tc>
          <w:tcPr>
            <w:tcW w:w="859" w:type="dxa"/>
          </w:tcPr>
          <w:p w14:paraId="32FAC0EB" w14:textId="77777777" w:rsidR="0009609E" w:rsidRPr="00E055A8" w:rsidRDefault="0009609E" w:rsidP="000960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1345" w:type="dxa"/>
            <w:vAlign w:val="center"/>
          </w:tcPr>
          <w:p w14:paraId="58C7CB24" w14:textId="77777777" w:rsidR="0009609E" w:rsidRPr="00E055A8" w:rsidRDefault="0009609E" w:rsidP="00F11D34">
            <w:pPr>
              <w:tabs>
                <w:tab w:val="decimal" w:pos="511"/>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639" w:type="dxa"/>
            <w:vAlign w:val="center"/>
          </w:tcPr>
          <w:p w14:paraId="03C900C5"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10,8</w:t>
            </w:r>
          </w:p>
        </w:tc>
        <w:tc>
          <w:tcPr>
            <w:tcW w:w="858" w:type="dxa"/>
            <w:vAlign w:val="center"/>
          </w:tcPr>
          <w:p w14:paraId="512F2D21"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10,2</w:t>
            </w:r>
          </w:p>
        </w:tc>
        <w:tc>
          <w:tcPr>
            <w:tcW w:w="859" w:type="dxa"/>
            <w:vAlign w:val="center"/>
          </w:tcPr>
          <w:p w14:paraId="19E3213C"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9,8</w:t>
            </w:r>
          </w:p>
        </w:tc>
        <w:tc>
          <w:tcPr>
            <w:tcW w:w="714" w:type="dxa"/>
            <w:vAlign w:val="center"/>
          </w:tcPr>
          <w:p w14:paraId="397EB0E5"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9,3</w:t>
            </w:r>
          </w:p>
        </w:tc>
        <w:tc>
          <w:tcPr>
            <w:tcW w:w="695" w:type="dxa"/>
            <w:vAlign w:val="center"/>
          </w:tcPr>
          <w:p w14:paraId="4C552093"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9,0</w:t>
            </w:r>
          </w:p>
        </w:tc>
      </w:tr>
      <w:tr w:rsidR="00E055A8" w:rsidRPr="00E055A8" w14:paraId="69A7E662" w14:textId="77777777" w:rsidTr="00F11D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1" w:type="dxa"/>
          </w:tcPr>
          <w:p w14:paraId="4CEE4A10" w14:textId="77777777" w:rsidR="0009609E" w:rsidRPr="00B5365D" w:rsidRDefault="0009609E" w:rsidP="0009609E">
            <w:pPr>
              <w:spacing w:line="276" w:lineRule="auto"/>
              <w:rPr>
                <w:rFonts w:ascii="Times New Roman" w:eastAsia="Times New Roman" w:hAnsi="Times New Roman" w:cs="Times New Roman"/>
                <w:b w:val="0"/>
                <w:snapToGrid w:val="0"/>
                <w:color w:val="auto"/>
                <w:sz w:val="20"/>
                <w:szCs w:val="20"/>
              </w:rPr>
            </w:pPr>
            <w:r w:rsidRPr="00B5365D">
              <w:rPr>
                <w:rFonts w:ascii="Times New Roman" w:eastAsia="Times New Roman" w:hAnsi="Times New Roman" w:cs="Times New Roman"/>
                <w:b w:val="0"/>
                <w:snapToGrid w:val="0"/>
                <w:color w:val="auto"/>
                <w:sz w:val="20"/>
                <w:szCs w:val="20"/>
              </w:rPr>
              <w:t>4. Darba ražīgums, uz nodarbināto</w:t>
            </w:r>
          </w:p>
        </w:tc>
        <w:tc>
          <w:tcPr>
            <w:tcW w:w="859" w:type="dxa"/>
          </w:tcPr>
          <w:p w14:paraId="6C9C31D5" w14:textId="77777777" w:rsidR="0009609E" w:rsidRPr="00E055A8" w:rsidRDefault="0009609E" w:rsidP="000960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1345" w:type="dxa"/>
            <w:vAlign w:val="center"/>
          </w:tcPr>
          <w:p w14:paraId="3F30B968" w14:textId="77777777" w:rsidR="0009609E" w:rsidRPr="00E055A8" w:rsidRDefault="0009609E" w:rsidP="00F11D34">
            <w:pPr>
              <w:tabs>
                <w:tab w:val="decimal" w:pos="511"/>
              </w:tabs>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639" w:type="dxa"/>
            <w:vAlign w:val="center"/>
          </w:tcPr>
          <w:p w14:paraId="4B459C87" w14:textId="77777777" w:rsidR="0009609E" w:rsidRPr="00E055A8" w:rsidRDefault="0009609E" w:rsidP="00F11D34">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3,4</w:t>
            </w:r>
          </w:p>
        </w:tc>
        <w:tc>
          <w:tcPr>
            <w:tcW w:w="858" w:type="dxa"/>
            <w:vAlign w:val="center"/>
          </w:tcPr>
          <w:p w14:paraId="4892C767" w14:textId="77777777" w:rsidR="0009609E" w:rsidRPr="00E055A8" w:rsidRDefault="0009609E" w:rsidP="00F11D34">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2,1</w:t>
            </w:r>
          </w:p>
        </w:tc>
        <w:tc>
          <w:tcPr>
            <w:tcW w:w="859" w:type="dxa"/>
            <w:vAlign w:val="center"/>
          </w:tcPr>
          <w:p w14:paraId="41F88486" w14:textId="77777777" w:rsidR="0009609E" w:rsidRPr="00E055A8" w:rsidRDefault="0009609E" w:rsidP="00F11D34">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2,8</w:t>
            </w:r>
          </w:p>
        </w:tc>
        <w:tc>
          <w:tcPr>
            <w:tcW w:w="714" w:type="dxa"/>
            <w:vAlign w:val="center"/>
          </w:tcPr>
          <w:p w14:paraId="7600D4CE" w14:textId="77777777" w:rsidR="0009609E" w:rsidRPr="00E055A8" w:rsidRDefault="0009609E" w:rsidP="00F11D34">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3,2</w:t>
            </w:r>
          </w:p>
        </w:tc>
        <w:tc>
          <w:tcPr>
            <w:tcW w:w="695" w:type="dxa"/>
            <w:vAlign w:val="center"/>
          </w:tcPr>
          <w:p w14:paraId="18F0D1A8" w14:textId="77777777" w:rsidR="0009609E" w:rsidRPr="00E055A8" w:rsidRDefault="0009609E" w:rsidP="00F11D34">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3,2</w:t>
            </w:r>
          </w:p>
        </w:tc>
      </w:tr>
      <w:tr w:rsidR="00E055A8" w:rsidRPr="00E055A8" w14:paraId="3E7C74E1" w14:textId="77777777" w:rsidTr="00F11D34">
        <w:trPr>
          <w:jc w:val="center"/>
        </w:trPr>
        <w:tc>
          <w:tcPr>
            <w:cnfStyle w:val="001000000000" w:firstRow="0" w:lastRow="0" w:firstColumn="1" w:lastColumn="0" w:oddVBand="0" w:evenVBand="0" w:oddHBand="0" w:evenHBand="0" w:firstRowFirstColumn="0" w:firstRowLastColumn="0" w:lastRowFirstColumn="0" w:lastRowLastColumn="0"/>
            <w:tcW w:w="3451" w:type="dxa"/>
          </w:tcPr>
          <w:p w14:paraId="693E1AF6" w14:textId="77777777" w:rsidR="0009609E" w:rsidRPr="00B5365D" w:rsidRDefault="0009609E" w:rsidP="0009609E">
            <w:pPr>
              <w:spacing w:line="276" w:lineRule="auto"/>
              <w:rPr>
                <w:rFonts w:ascii="Times New Roman" w:eastAsia="Times New Roman" w:hAnsi="Times New Roman" w:cs="Times New Roman"/>
                <w:b w:val="0"/>
                <w:snapToGrid w:val="0"/>
                <w:color w:val="auto"/>
                <w:sz w:val="20"/>
                <w:szCs w:val="20"/>
              </w:rPr>
            </w:pPr>
            <w:r w:rsidRPr="00B5365D">
              <w:rPr>
                <w:rFonts w:ascii="Times New Roman" w:eastAsia="Times New Roman" w:hAnsi="Times New Roman" w:cs="Times New Roman"/>
                <w:b w:val="0"/>
                <w:snapToGrid w:val="0"/>
                <w:color w:val="auto"/>
                <w:sz w:val="20"/>
                <w:szCs w:val="20"/>
              </w:rPr>
              <w:t>5. Darba ražīgums, uz darba stundu</w:t>
            </w:r>
          </w:p>
        </w:tc>
        <w:tc>
          <w:tcPr>
            <w:tcW w:w="859" w:type="dxa"/>
          </w:tcPr>
          <w:p w14:paraId="0E9D35A6" w14:textId="77777777" w:rsidR="0009609E" w:rsidRPr="00E055A8" w:rsidRDefault="0009609E" w:rsidP="000960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1345" w:type="dxa"/>
            <w:vAlign w:val="center"/>
          </w:tcPr>
          <w:p w14:paraId="401FD275" w14:textId="77777777" w:rsidR="0009609E" w:rsidRPr="00E055A8" w:rsidRDefault="0009609E" w:rsidP="00F11D34">
            <w:pPr>
              <w:tabs>
                <w:tab w:val="decimal" w:pos="511"/>
              </w:tabs>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639" w:type="dxa"/>
            <w:vAlign w:val="center"/>
          </w:tcPr>
          <w:p w14:paraId="1FD9B257" w14:textId="77777777" w:rsidR="0009609E" w:rsidRPr="00E055A8" w:rsidRDefault="0009609E"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1,3</w:t>
            </w:r>
          </w:p>
        </w:tc>
        <w:tc>
          <w:tcPr>
            <w:tcW w:w="858" w:type="dxa"/>
            <w:vAlign w:val="center"/>
          </w:tcPr>
          <w:p w14:paraId="7D9B734B" w14:textId="77777777" w:rsidR="0009609E" w:rsidRPr="00E055A8" w:rsidRDefault="0009609E"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2,1</w:t>
            </w:r>
          </w:p>
        </w:tc>
        <w:tc>
          <w:tcPr>
            <w:tcW w:w="859" w:type="dxa"/>
            <w:vAlign w:val="center"/>
          </w:tcPr>
          <w:p w14:paraId="4FA2ED38" w14:textId="77777777" w:rsidR="0009609E" w:rsidRPr="00E055A8" w:rsidRDefault="0009609E"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2,8</w:t>
            </w:r>
          </w:p>
        </w:tc>
        <w:tc>
          <w:tcPr>
            <w:tcW w:w="714" w:type="dxa"/>
            <w:vAlign w:val="center"/>
          </w:tcPr>
          <w:p w14:paraId="3873699E" w14:textId="77777777" w:rsidR="0009609E" w:rsidRPr="00E055A8" w:rsidRDefault="0009609E"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3,2</w:t>
            </w:r>
          </w:p>
        </w:tc>
        <w:tc>
          <w:tcPr>
            <w:tcW w:w="695" w:type="dxa"/>
            <w:vAlign w:val="center"/>
          </w:tcPr>
          <w:p w14:paraId="3EA797EF" w14:textId="77777777" w:rsidR="0009609E" w:rsidRPr="00E055A8" w:rsidRDefault="0009609E"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3,2</w:t>
            </w:r>
          </w:p>
        </w:tc>
      </w:tr>
      <w:tr w:rsidR="00E055A8" w:rsidRPr="00E055A8" w14:paraId="1E5C3E99" w14:textId="77777777" w:rsidTr="00F11D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1" w:type="dxa"/>
          </w:tcPr>
          <w:p w14:paraId="479CB966" w14:textId="66AC7167" w:rsidR="0009609E" w:rsidRPr="00B5365D" w:rsidRDefault="0009609E" w:rsidP="00780B40">
            <w:pPr>
              <w:spacing w:line="276" w:lineRule="auto"/>
              <w:rPr>
                <w:rFonts w:ascii="Times New Roman" w:eastAsia="Times New Roman" w:hAnsi="Times New Roman" w:cs="Times New Roman"/>
                <w:b w:val="0"/>
                <w:snapToGrid w:val="0"/>
                <w:color w:val="auto"/>
                <w:sz w:val="20"/>
                <w:szCs w:val="20"/>
              </w:rPr>
            </w:pPr>
            <w:r w:rsidRPr="00B5365D">
              <w:rPr>
                <w:rFonts w:ascii="Times New Roman" w:eastAsia="Times New Roman" w:hAnsi="Times New Roman" w:cs="Times New Roman"/>
                <w:b w:val="0"/>
                <w:snapToGrid w:val="0"/>
                <w:color w:val="auto"/>
                <w:sz w:val="20"/>
                <w:szCs w:val="20"/>
              </w:rPr>
              <w:t xml:space="preserve">6. Atlīdzība nodarbinātajiem, milj. </w:t>
            </w:r>
            <w:r w:rsidR="00780B40" w:rsidRPr="00B5365D">
              <w:rPr>
                <w:rFonts w:ascii="Times New Roman" w:eastAsia="Times New Roman" w:hAnsi="Times New Roman" w:cs="Times New Roman"/>
                <w:b w:val="0"/>
                <w:i/>
                <w:snapToGrid w:val="0"/>
                <w:color w:val="auto"/>
                <w:sz w:val="20"/>
                <w:szCs w:val="20"/>
              </w:rPr>
              <w:t>euro</w:t>
            </w:r>
            <w:r w:rsidRPr="00B5365D">
              <w:rPr>
                <w:rFonts w:ascii="Times New Roman" w:eastAsia="Times New Roman" w:hAnsi="Times New Roman" w:cs="Times New Roman"/>
                <w:b w:val="0"/>
                <w:snapToGrid w:val="0"/>
                <w:color w:val="auto"/>
                <w:sz w:val="20"/>
                <w:szCs w:val="20"/>
              </w:rPr>
              <w:t>, faktiskās cenās</w:t>
            </w:r>
          </w:p>
        </w:tc>
        <w:tc>
          <w:tcPr>
            <w:tcW w:w="859" w:type="dxa"/>
          </w:tcPr>
          <w:p w14:paraId="628159D7" w14:textId="77777777" w:rsidR="0009609E" w:rsidRPr="00E055A8" w:rsidRDefault="0009609E" w:rsidP="0009609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D.1</w:t>
            </w:r>
          </w:p>
        </w:tc>
        <w:tc>
          <w:tcPr>
            <w:tcW w:w="1345" w:type="dxa"/>
            <w:vAlign w:val="center"/>
          </w:tcPr>
          <w:p w14:paraId="17607A81" w14:textId="77777777" w:rsidR="0009609E" w:rsidRPr="00E055A8" w:rsidRDefault="0009609E" w:rsidP="00F11D34">
            <w:pPr>
              <w:spacing w:line="25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10281,7</w:t>
            </w:r>
          </w:p>
        </w:tc>
        <w:tc>
          <w:tcPr>
            <w:tcW w:w="639" w:type="dxa"/>
            <w:vAlign w:val="center"/>
          </w:tcPr>
          <w:p w14:paraId="6B4861D4" w14:textId="77777777" w:rsidR="0009609E" w:rsidRPr="00E055A8" w:rsidRDefault="0009609E"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napToGrid w:val="0"/>
                <w:color w:val="auto"/>
                <w:sz w:val="20"/>
                <w:szCs w:val="20"/>
              </w:rPr>
            </w:pPr>
            <w:r w:rsidRPr="00E055A8">
              <w:rPr>
                <w:rFonts w:ascii="Times New Roman" w:eastAsia="Times New Roman" w:hAnsi="Times New Roman" w:cs="Times New Roman"/>
                <w:snapToGrid w:val="0"/>
                <w:color w:val="auto"/>
                <w:sz w:val="20"/>
                <w:szCs w:val="20"/>
              </w:rPr>
              <w:t>7,3</w:t>
            </w:r>
          </w:p>
        </w:tc>
        <w:tc>
          <w:tcPr>
            <w:tcW w:w="858" w:type="dxa"/>
            <w:vAlign w:val="center"/>
          </w:tcPr>
          <w:p w14:paraId="52DE0058" w14:textId="77777777" w:rsidR="0009609E" w:rsidRPr="00E055A8" w:rsidRDefault="0009609E" w:rsidP="00F11D34">
            <w:pPr>
              <w:tabs>
                <w:tab w:val="decimal" w:pos="51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4,5</w:t>
            </w:r>
          </w:p>
        </w:tc>
        <w:tc>
          <w:tcPr>
            <w:tcW w:w="859" w:type="dxa"/>
            <w:vAlign w:val="center"/>
          </w:tcPr>
          <w:p w14:paraId="29C01366" w14:textId="77777777" w:rsidR="0009609E" w:rsidRPr="00E055A8" w:rsidRDefault="0009609E" w:rsidP="00F11D34">
            <w:pPr>
              <w:tabs>
                <w:tab w:val="decimal" w:pos="51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5,2</w:t>
            </w:r>
          </w:p>
        </w:tc>
        <w:tc>
          <w:tcPr>
            <w:tcW w:w="714" w:type="dxa"/>
            <w:vAlign w:val="center"/>
          </w:tcPr>
          <w:p w14:paraId="48B50B51" w14:textId="77777777" w:rsidR="0009609E" w:rsidRPr="00E055A8" w:rsidRDefault="0009609E" w:rsidP="00F11D34">
            <w:pPr>
              <w:tabs>
                <w:tab w:val="decimal" w:pos="51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5,9</w:t>
            </w:r>
          </w:p>
        </w:tc>
        <w:tc>
          <w:tcPr>
            <w:tcW w:w="695" w:type="dxa"/>
            <w:vAlign w:val="center"/>
          </w:tcPr>
          <w:p w14:paraId="64800567" w14:textId="77777777" w:rsidR="0009609E" w:rsidRPr="00E055A8" w:rsidRDefault="0009609E" w:rsidP="00F11D34">
            <w:pPr>
              <w:tabs>
                <w:tab w:val="decimal" w:pos="392"/>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5,9</w:t>
            </w:r>
          </w:p>
        </w:tc>
      </w:tr>
      <w:tr w:rsidR="00E055A8" w:rsidRPr="00E055A8" w14:paraId="6CD4FC61" w14:textId="77777777" w:rsidTr="00F11D34">
        <w:trPr>
          <w:jc w:val="center"/>
        </w:trPr>
        <w:tc>
          <w:tcPr>
            <w:cnfStyle w:val="001000000000" w:firstRow="0" w:lastRow="0" w:firstColumn="1" w:lastColumn="0" w:oddVBand="0" w:evenVBand="0" w:oddHBand="0" w:evenHBand="0" w:firstRowFirstColumn="0" w:firstRowLastColumn="0" w:lastRowFirstColumn="0" w:lastRowLastColumn="0"/>
            <w:tcW w:w="3451" w:type="dxa"/>
          </w:tcPr>
          <w:p w14:paraId="53DA48ED" w14:textId="634FB049" w:rsidR="0009609E" w:rsidRPr="00B5365D" w:rsidRDefault="0009609E" w:rsidP="00780B40">
            <w:pPr>
              <w:spacing w:line="276" w:lineRule="auto"/>
              <w:rPr>
                <w:rFonts w:ascii="Times New Roman" w:eastAsia="Times New Roman" w:hAnsi="Times New Roman" w:cs="Times New Roman"/>
                <w:b w:val="0"/>
                <w:snapToGrid w:val="0"/>
                <w:color w:val="auto"/>
                <w:sz w:val="20"/>
                <w:szCs w:val="20"/>
              </w:rPr>
            </w:pPr>
            <w:r w:rsidRPr="00B5365D">
              <w:rPr>
                <w:rFonts w:ascii="Times New Roman" w:eastAsia="Times New Roman" w:hAnsi="Times New Roman" w:cs="Times New Roman"/>
                <w:b w:val="0"/>
                <w:snapToGrid w:val="0"/>
                <w:color w:val="auto"/>
                <w:sz w:val="20"/>
                <w:szCs w:val="20"/>
              </w:rPr>
              <w:t xml:space="preserve">7. Atlīdzība nodarbinātajam, </w:t>
            </w:r>
            <w:r w:rsidR="00780B40" w:rsidRPr="00B5365D">
              <w:rPr>
                <w:rFonts w:ascii="Times New Roman" w:eastAsia="Times New Roman" w:hAnsi="Times New Roman" w:cs="Times New Roman"/>
                <w:b w:val="0"/>
                <w:i/>
                <w:snapToGrid w:val="0"/>
                <w:color w:val="auto"/>
                <w:sz w:val="20"/>
                <w:szCs w:val="20"/>
              </w:rPr>
              <w:t>euro</w:t>
            </w:r>
          </w:p>
        </w:tc>
        <w:tc>
          <w:tcPr>
            <w:tcW w:w="859" w:type="dxa"/>
          </w:tcPr>
          <w:p w14:paraId="782C81AA" w14:textId="77777777" w:rsidR="0009609E" w:rsidRPr="00E055A8" w:rsidRDefault="0009609E" w:rsidP="0009609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napToGrid w:val="0"/>
                <w:color w:val="auto"/>
                <w:sz w:val="20"/>
                <w:szCs w:val="20"/>
              </w:rPr>
            </w:pPr>
          </w:p>
        </w:tc>
        <w:tc>
          <w:tcPr>
            <w:tcW w:w="1345" w:type="dxa"/>
            <w:vAlign w:val="center"/>
          </w:tcPr>
          <w:p w14:paraId="5E77413B"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765,2</w:t>
            </w:r>
          </w:p>
        </w:tc>
        <w:tc>
          <w:tcPr>
            <w:tcW w:w="639" w:type="dxa"/>
            <w:vAlign w:val="center"/>
          </w:tcPr>
          <w:p w14:paraId="200E529F"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6,8</w:t>
            </w:r>
          </w:p>
        </w:tc>
        <w:tc>
          <w:tcPr>
            <w:tcW w:w="858" w:type="dxa"/>
            <w:vAlign w:val="center"/>
          </w:tcPr>
          <w:p w14:paraId="60845D99"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4,5</w:t>
            </w:r>
          </w:p>
        </w:tc>
        <w:tc>
          <w:tcPr>
            <w:tcW w:w="859" w:type="dxa"/>
            <w:vAlign w:val="center"/>
          </w:tcPr>
          <w:p w14:paraId="5107AD7E"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5,0</w:t>
            </w:r>
          </w:p>
        </w:tc>
        <w:tc>
          <w:tcPr>
            <w:tcW w:w="714" w:type="dxa"/>
            <w:vAlign w:val="center"/>
          </w:tcPr>
          <w:p w14:paraId="2E979EBB"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5,5</w:t>
            </w:r>
          </w:p>
        </w:tc>
        <w:tc>
          <w:tcPr>
            <w:tcW w:w="695" w:type="dxa"/>
            <w:vAlign w:val="center"/>
          </w:tcPr>
          <w:p w14:paraId="09B12B40" w14:textId="77777777" w:rsidR="0009609E" w:rsidRPr="00E055A8" w:rsidRDefault="0009609E" w:rsidP="00F11D34">
            <w:pPr>
              <w:spacing w:line="25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055A8">
              <w:rPr>
                <w:rFonts w:ascii="Times New Roman" w:eastAsia="Times New Roman" w:hAnsi="Times New Roman" w:cs="Times New Roman"/>
                <w:color w:val="auto"/>
                <w:sz w:val="20"/>
                <w:szCs w:val="20"/>
              </w:rPr>
              <w:t>5,5</w:t>
            </w:r>
          </w:p>
        </w:tc>
      </w:tr>
    </w:tbl>
    <w:p w14:paraId="41E3160A" w14:textId="77777777" w:rsidR="00F51615" w:rsidRPr="00F51615" w:rsidRDefault="00F51615" w:rsidP="00F51615">
      <w:pPr>
        <w:rPr>
          <w:rFonts w:ascii="Times New Roman" w:hAnsi="Times New Roman" w:cs="Times New Roman"/>
          <w:b/>
          <w:color w:val="000000"/>
        </w:rPr>
      </w:pPr>
    </w:p>
    <w:p w14:paraId="3FD160C3" w14:textId="4C92620D" w:rsidR="00F51615" w:rsidRPr="00F51615" w:rsidRDefault="00C81719" w:rsidP="00F51615">
      <w:pPr>
        <w:pStyle w:val="T"/>
        <w:ind w:left="0"/>
        <w:rPr>
          <w:rFonts w:ascii="Times New Roman" w:hAnsi="Times New Roman"/>
          <w:color w:val="000000"/>
        </w:rPr>
      </w:pPr>
      <w:r>
        <w:rPr>
          <w:rFonts w:ascii="Times New Roman" w:hAnsi="Times New Roman"/>
          <w:color w:val="000000"/>
        </w:rPr>
        <w:t>1d.</w:t>
      </w:r>
      <w:r w:rsidR="00F51615" w:rsidRPr="00F51615">
        <w:rPr>
          <w:rFonts w:ascii="Times New Roman" w:hAnsi="Times New Roman"/>
          <w:color w:val="000000"/>
        </w:rPr>
        <w:t>tabula. Sektoru bilances</w:t>
      </w:r>
    </w:p>
    <w:tbl>
      <w:tblPr>
        <w:tblStyle w:val="GridTable6ColorfulAccent1"/>
        <w:tblW w:w="9254" w:type="dxa"/>
        <w:jc w:val="center"/>
        <w:tblLayout w:type="fixed"/>
        <w:tblLook w:val="04A0" w:firstRow="1" w:lastRow="0" w:firstColumn="1" w:lastColumn="0" w:noHBand="0" w:noVBand="1"/>
      </w:tblPr>
      <w:tblGrid>
        <w:gridCol w:w="4360"/>
        <w:gridCol w:w="960"/>
        <w:gridCol w:w="786"/>
        <w:gridCol w:w="787"/>
        <w:gridCol w:w="787"/>
        <w:gridCol w:w="787"/>
        <w:gridCol w:w="787"/>
      </w:tblGrid>
      <w:tr w:rsidR="0009609E" w:rsidRPr="00F11D34" w14:paraId="12E33E7A" w14:textId="77777777" w:rsidTr="003028D0">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360" w:type="dxa"/>
            <w:vMerge w:val="restart"/>
            <w:vAlign w:val="center"/>
            <w:hideMark/>
          </w:tcPr>
          <w:p w14:paraId="5E79FE97" w14:textId="77777777" w:rsidR="0009609E" w:rsidRPr="00F11D34" w:rsidRDefault="0009609E" w:rsidP="00F11D34">
            <w:pPr>
              <w:jc w:val="center"/>
              <w:rPr>
                <w:rFonts w:ascii="Times New Roman" w:eastAsia="Calibri" w:hAnsi="Times New Roman" w:cs="Times New Roman"/>
                <w:color w:val="000000"/>
                <w:sz w:val="20"/>
                <w:szCs w:val="20"/>
              </w:rPr>
            </w:pPr>
            <w:r w:rsidRPr="00F11D34">
              <w:rPr>
                <w:rFonts w:ascii="Times New Roman" w:eastAsia="Calibri" w:hAnsi="Times New Roman" w:cs="Times New Roman"/>
                <w:color w:val="000000"/>
                <w:sz w:val="20"/>
                <w:szCs w:val="20"/>
              </w:rPr>
              <w:t>% no IKP</w:t>
            </w:r>
          </w:p>
        </w:tc>
        <w:tc>
          <w:tcPr>
            <w:tcW w:w="960" w:type="dxa"/>
            <w:vMerge w:val="restart"/>
            <w:vAlign w:val="center"/>
            <w:hideMark/>
          </w:tcPr>
          <w:p w14:paraId="0928DA53"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color w:val="000000"/>
                <w:sz w:val="20"/>
                <w:szCs w:val="20"/>
              </w:rPr>
              <w:t>EKS kods</w:t>
            </w:r>
          </w:p>
        </w:tc>
        <w:tc>
          <w:tcPr>
            <w:tcW w:w="786" w:type="dxa"/>
            <w:vMerge w:val="restart"/>
            <w:vAlign w:val="center"/>
            <w:hideMark/>
          </w:tcPr>
          <w:p w14:paraId="7F4C521A"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sz w:val="20"/>
                <w:szCs w:val="20"/>
              </w:rPr>
            </w:pPr>
            <w:r w:rsidRPr="00F11D34">
              <w:rPr>
                <w:rFonts w:ascii="Times New Roman" w:eastAsia="Calibri" w:hAnsi="Times New Roman" w:cs="Times New Roman"/>
                <w:bCs w:val="0"/>
                <w:color w:val="000000"/>
                <w:sz w:val="20"/>
                <w:szCs w:val="20"/>
              </w:rPr>
              <w:t>2014</w:t>
            </w:r>
          </w:p>
        </w:tc>
        <w:tc>
          <w:tcPr>
            <w:tcW w:w="787" w:type="dxa"/>
            <w:vMerge w:val="restart"/>
            <w:vAlign w:val="center"/>
            <w:hideMark/>
          </w:tcPr>
          <w:p w14:paraId="2DF6B93D"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sz w:val="20"/>
                <w:szCs w:val="20"/>
              </w:rPr>
            </w:pPr>
            <w:r w:rsidRPr="00F11D34">
              <w:rPr>
                <w:rFonts w:ascii="Times New Roman" w:eastAsia="Calibri" w:hAnsi="Times New Roman" w:cs="Times New Roman"/>
                <w:bCs w:val="0"/>
                <w:color w:val="000000"/>
                <w:sz w:val="20"/>
                <w:szCs w:val="20"/>
              </w:rPr>
              <w:t>2015</w:t>
            </w:r>
          </w:p>
        </w:tc>
        <w:tc>
          <w:tcPr>
            <w:tcW w:w="787" w:type="dxa"/>
            <w:vMerge w:val="restart"/>
            <w:vAlign w:val="center"/>
            <w:hideMark/>
          </w:tcPr>
          <w:p w14:paraId="6D2D347F"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sz w:val="20"/>
                <w:szCs w:val="20"/>
              </w:rPr>
            </w:pPr>
            <w:r w:rsidRPr="00F11D34">
              <w:rPr>
                <w:rFonts w:ascii="Times New Roman" w:eastAsia="Calibri" w:hAnsi="Times New Roman" w:cs="Times New Roman"/>
                <w:bCs w:val="0"/>
                <w:color w:val="000000"/>
                <w:sz w:val="20"/>
                <w:szCs w:val="20"/>
              </w:rPr>
              <w:t>2016</w:t>
            </w:r>
          </w:p>
        </w:tc>
        <w:tc>
          <w:tcPr>
            <w:tcW w:w="787" w:type="dxa"/>
            <w:vMerge w:val="restart"/>
            <w:vAlign w:val="center"/>
            <w:hideMark/>
          </w:tcPr>
          <w:p w14:paraId="7A43D615"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sz w:val="20"/>
                <w:szCs w:val="20"/>
              </w:rPr>
            </w:pPr>
            <w:r w:rsidRPr="00F11D34">
              <w:rPr>
                <w:rFonts w:ascii="Times New Roman" w:eastAsia="Calibri" w:hAnsi="Times New Roman" w:cs="Times New Roman"/>
                <w:bCs w:val="0"/>
                <w:color w:val="000000"/>
                <w:sz w:val="20"/>
                <w:szCs w:val="20"/>
              </w:rPr>
              <w:t>2017</w:t>
            </w:r>
          </w:p>
        </w:tc>
        <w:tc>
          <w:tcPr>
            <w:tcW w:w="787" w:type="dxa"/>
            <w:vMerge w:val="restart"/>
            <w:vAlign w:val="center"/>
            <w:hideMark/>
          </w:tcPr>
          <w:p w14:paraId="1778DDD7" w14:textId="77777777" w:rsidR="0009609E" w:rsidRPr="00F11D34" w:rsidRDefault="0009609E"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sz w:val="20"/>
                <w:szCs w:val="20"/>
              </w:rPr>
            </w:pPr>
            <w:r w:rsidRPr="00F11D34">
              <w:rPr>
                <w:rFonts w:ascii="Times New Roman" w:eastAsia="Calibri" w:hAnsi="Times New Roman" w:cs="Times New Roman"/>
                <w:bCs w:val="0"/>
                <w:color w:val="000000"/>
                <w:sz w:val="20"/>
                <w:szCs w:val="20"/>
              </w:rPr>
              <w:t>2018</w:t>
            </w:r>
          </w:p>
        </w:tc>
      </w:tr>
      <w:tr w:rsidR="0009609E" w:rsidRPr="00F11D34" w14:paraId="66000B71" w14:textId="77777777" w:rsidTr="003028D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4360" w:type="dxa"/>
            <w:vMerge/>
            <w:hideMark/>
          </w:tcPr>
          <w:p w14:paraId="32E078BB" w14:textId="77777777" w:rsidR="0009609E" w:rsidRPr="00F11D34" w:rsidRDefault="0009609E" w:rsidP="0009609E">
            <w:pPr>
              <w:rPr>
                <w:rFonts w:ascii="Times New Roman" w:eastAsia="Calibri" w:hAnsi="Times New Roman" w:cs="Times New Roman"/>
                <w:b w:val="0"/>
                <w:color w:val="000000"/>
                <w:sz w:val="20"/>
                <w:szCs w:val="20"/>
              </w:rPr>
            </w:pPr>
          </w:p>
        </w:tc>
        <w:tc>
          <w:tcPr>
            <w:tcW w:w="960" w:type="dxa"/>
            <w:vMerge/>
            <w:hideMark/>
          </w:tcPr>
          <w:p w14:paraId="6884706D" w14:textId="77777777" w:rsidR="0009609E" w:rsidRPr="00F11D34"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p>
        </w:tc>
        <w:tc>
          <w:tcPr>
            <w:tcW w:w="786" w:type="dxa"/>
            <w:vMerge/>
            <w:hideMark/>
          </w:tcPr>
          <w:p w14:paraId="3BDA0547" w14:textId="77777777" w:rsidR="0009609E" w:rsidRPr="00F11D34"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rPr>
            </w:pPr>
          </w:p>
        </w:tc>
        <w:tc>
          <w:tcPr>
            <w:tcW w:w="787" w:type="dxa"/>
            <w:vMerge/>
            <w:hideMark/>
          </w:tcPr>
          <w:p w14:paraId="36093C0D" w14:textId="77777777" w:rsidR="0009609E" w:rsidRPr="00F11D34"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rPr>
            </w:pPr>
          </w:p>
        </w:tc>
        <w:tc>
          <w:tcPr>
            <w:tcW w:w="787" w:type="dxa"/>
            <w:vMerge/>
            <w:hideMark/>
          </w:tcPr>
          <w:p w14:paraId="1B518E99" w14:textId="77777777" w:rsidR="0009609E" w:rsidRPr="00F11D34"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rPr>
            </w:pPr>
          </w:p>
        </w:tc>
        <w:tc>
          <w:tcPr>
            <w:tcW w:w="787" w:type="dxa"/>
            <w:vMerge/>
            <w:hideMark/>
          </w:tcPr>
          <w:p w14:paraId="22D84F30" w14:textId="77777777" w:rsidR="0009609E" w:rsidRPr="00F11D34"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rPr>
            </w:pPr>
          </w:p>
        </w:tc>
        <w:tc>
          <w:tcPr>
            <w:tcW w:w="787" w:type="dxa"/>
            <w:vMerge/>
            <w:hideMark/>
          </w:tcPr>
          <w:p w14:paraId="5F62A27A" w14:textId="77777777" w:rsidR="0009609E" w:rsidRPr="00F11D34"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rPr>
            </w:pPr>
          </w:p>
        </w:tc>
      </w:tr>
      <w:tr w:rsidR="0009609E" w:rsidRPr="00F11D34" w14:paraId="1C1310F8" w14:textId="77777777" w:rsidTr="003028D0">
        <w:trPr>
          <w:trHeight w:val="207"/>
          <w:jc w:val="center"/>
        </w:trPr>
        <w:tc>
          <w:tcPr>
            <w:cnfStyle w:val="001000000000" w:firstRow="0" w:lastRow="0" w:firstColumn="1" w:lastColumn="0" w:oddVBand="0" w:evenVBand="0" w:oddHBand="0" w:evenHBand="0" w:firstRowFirstColumn="0" w:firstRowLastColumn="0" w:lastRowFirstColumn="0" w:lastRowLastColumn="0"/>
            <w:tcW w:w="4360" w:type="dxa"/>
            <w:hideMark/>
          </w:tcPr>
          <w:p w14:paraId="2AC3E82F" w14:textId="77777777" w:rsidR="0009609E" w:rsidRPr="00F11D34" w:rsidRDefault="0009609E" w:rsidP="0009609E">
            <w:pPr>
              <w:rPr>
                <w:rFonts w:ascii="Times New Roman" w:eastAsia="Calibri" w:hAnsi="Times New Roman" w:cs="Times New Roman"/>
                <w:b w:val="0"/>
                <w:color w:val="000000"/>
                <w:sz w:val="20"/>
                <w:szCs w:val="20"/>
              </w:rPr>
            </w:pPr>
            <w:r w:rsidRPr="00F11D34">
              <w:rPr>
                <w:rFonts w:ascii="Times New Roman" w:eastAsia="Calibri" w:hAnsi="Times New Roman" w:cs="Times New Roman"/>
                <w:b w:val="0"/>
                <w:snapToGrid w:val="0"/>
                <w:color w:val="000000"/>
                <w:sz w:val="20"/>
                <w:szCs w:val="20"/>
              </w:rPr>
              <w:t>1. Tekošais un kapitāla konts</w:t>
            </w:r>
          </w:p>
        </w:tc>
        <w:tc>
          <w:tcPr>
            <w:tcW w:w="960" w:type="dxa"/>
            <w:hideMark/>
          </w:tcPr>
          <w:p w14:paraId="38AF2FC3" w14:textId="77777777" w:rsidR="0009609E" w:rsidRPr="00F11D34"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snapToGrid w:val="0"/>
                <w:color w:val="000000"/>
                <w:sz w:val="20"/>
                <w:szCs w:val="20"/>
              </w:rPr>
              <w:t>B.9</w:t>
            </w:r>
          </w:p>
        </w:tc>
        <w:tc>
          <w:tcPr>
            <w:tcW w:w="786" w:type="dxa"/>
            <w:vAlign w:val="center"/>
            <w:hideMark/>
          </w:tcPr>
          <w:p w14:paraId="33C819C4" w14:textId="05315AD3"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snapToGrid w:val="0"/>
                <w:color w:val="000000"/>
                <w:sz w:val="20"/>
                <w:szCs w:val="20"/>
              </w:rPr>
              <w:t>-0,6</w:t>
            </w:r>
          </w:p>
        </w:tc>
        <w:tc>
          <w:tcPr>
            <w:tcW w:w="787" w:type="dxa"/>
            <w:vAlign w:val="center"/>
            <w:hideMark/>
          </w:tcPr>
          <w:p w14:paraId="1E914A73" w14:textId="366F8456"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snapToGrid w:val="0"/>
                <w:color w:val="000000"/>
                <w:sz w:val="20"/>
                <w:szCs w:val="20"/>
              </w:rPr>
              <w:t>0,5</w:t>
            </w:r>
          </w:p>
        </w:tc>
        <w:tc>
          <w:tcPr>
            <w:tcW w:w="787" w:type="dxa"/>
            <w:vAlign w:val="center"/>
            <w:hideMark/>
          </w:tcPr>
          <w:p w14:paraId="46E1D3E0" w14:textId="50B1645F"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snapToGrid w:val="0"/>
                <w:color w:val="000000"/>
                <w:sz w:val="20"/>
                <w:szCs w:val="20"/>
              </w:rPr>
              <w:t>0,3</w:t>
            </w:r>
          </w:p>
        </w:tc>
        <w:tc>
          <w:tcPr>
            <w:tcW w:w="787" w:type="dxa"/>
            <w:vAlign w:val="center"/>
            <w:hideMark/>
          </w:tcPr>
          <w:p w14:paraId="608A17C2" w14:textId="6AF42677"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snapToGrid w:val="0"/>
                <w:color w:val="000000"/>
                <w:sz w:val="20"/>
                <w:szCs w:val="20"/>
              </w:rPr>
              <w:t>0,2</w:t>
            </w:r>
          </w:p>
        </w:tc>
        <w:tc>
          <w:tcPr>
            <w:tcW w:w="787" w:type="dxa"/>
            <w:vAlign w:val="center"/>
            <w:hideMark/>
          </w:tcPr>
          <w:p w14:paraId="2CBE5015" w14:textId="17FD2122"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snapToGrid w:val="0"/>
                <w:color w:val="000000"/>
                <w:sz w:val="20"/>
                <w:szCs w:val="20"/>
              </w:rPr>
              <w:t>-0,1</w:t>
            </w:r>
          </w:p>
        </w:tc>
      </w:tr>
      <w:tr w:rsidR="0009609E" w:rsidRPr="00F11D34" w14:paraId="7B1192B8" w14:textId="77777777" w:rsidTr="003028D0">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4360" w:type="dxa"/>
            <w:hideMark/>
          </w:tcPr>
          <w:p w14:paraId="227EBDAE" w14:textId="77777777" w:rsidR="0009609E" w:rsidRPr="00F11D34" w:rsidRDefault="0009609E" w:rsidP="0009609E">
            <w:pPr>
              <w:rPr>
                <w:rFonts w:ascii="Times New Roman" w:eastAsia="Calibri" w:hAnsi="Times New Roman" w:cs="Times New Roman"/>
                <w:b w:val="0"/>
                <w:color w:val="000000"/>
                <w:sz w:val="20"/>
                <w:szCs w:val="20"/>
              </w:rPr>
            </w:pPr>
            <w:r w:rsidRPr="00F11D34">
              <w:rPr>
                <w:rFonts w:ascii="Times New Roman" w:eastAsia="Calibri" w:hAnsi="Times New Roman" w:cs="Times New Roman"/>
                <w:b w:val="0"/>
                <w:snapToGrid w:val="0"/>
                <w:color w:val="000000"/>
                <w:sz w:val="20"/>
                <w:szCs w:val="20"/>
              </w:rPr>
              <w:t>t.sk.:</w:t>
            </w:r>
          </w:p>
        </w:tc>
        <w:tc>
          <w:tcPr>
            <w:tcW w:w="960" w:type="dxa"/>
            <w:hideMark/>
          </w:tcPr>
          <w:p w14:paraId="733F8FE7" w14:textId="77777777" w:rsidR="0009609E" w:rsidRPr="00F11D34"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snapToGrid w:val="0"/>
                <w:color w:val="000000"/>
                <w:sz w:val="20"/>
                <w:szCs w:val="20"/>
              </w:rPr>
              <w:t> </w:t>
            </w:r>
          </w:p>
        </w:tc>
        <w:tc>
          <w:tcPr>
            <w:tcW w:w="786" w:type="dxa"/>
            <w:noWrap/>
            <w:vAlign w:val="center"/>
            <w:hideMark/>
          </w:tcPr>
          <w:p w14:paraId="68808CFF" w14:textId="77777777" w:rsidR="0009609E" w:rsidRPr="00F11D34" w:rsidRDefault="0009609E"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color w:val="000000"/>
                <w:sz w:val="20"/>
                <w:szCs w:val="20"/>
              </w:rPr>
              <w:t> </w:t>
            </w:r>
          </w:p>
        </w:tc>
        <w:tc>
          <w:tcPr>
            <w:tcW w:w="787" w:type="dxa"/>
            <w:noWrap/>
            <w:vAlign w:val="center"/>
            <w:hideMark/>
          </w:tcPr>
          <w:p w14:paraId="26AE0B0C" w14:textId="77777777" w:rsidR="0009609E" w:rsidRPr="00F11D34" w:rsidRDefault="0009609E"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color w:val="000000"/>
                <w:sz w:val="20"/>
                <w:szCs w:val="20"/>
              </w:rPr>
              <w:t> </w:t>
            </w:r>
          </w:p>
        </w:tc>
        <w:tc>
          <w:tcPr>
            <w:tcW w:w="787" w:type="dxa"/>
            <w:noWrap/>
            <w:vAlign w:val="center"/>
            <w:hideMark/>
          </w:tcPr>
          <w:p w14:paraId="7DEAA139" w14:textId="77777777" w:rsidR="0009609E" w:rsidRPr="00F11D34" w:rsidRDefault="0009609E"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color w:val="000000"/>
                <w:sz w:val="20"/>
                <w:szCs w:val="20"/>
              </w:rPr>
              <w:t> </w:t>
            </w:r>
          </w:p>
        </w:tc>
        <w:tc>
          <w:tcPr>
            <w:tcW w:w="787" w:type="dxa"/>
            <w:noWrap/>
            <w:vAlign w:val="center"/>
            <w:hideMark/>
          </w:tcPr>
          <w:p w14:paraId="2D380E0E" w14:textId="77777777" w:rsidR="0009609E" w:rsidRPr="00F11D34" w:rsidRDefault="0009609E"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color w:val="000000"/>
                <w:sz w:val="20"/>
                <w:szCs w:val="20"/>
              </w:rPr>
              <w:t> </w:t>
            </w:r>
          </w:p>
        </w:tc>
        <w:tc>
          <w:tcPr>
            <w:tcW w:w="787" w:type="dxa"/>
            <w:noWrap/>
            <w:vAlign w:val="center"/>
            <w:hideMark/>
          </w:tcPr>
          <w:p w14:paraId="5A7FFCC9" w14:textId="77777777" w:rsidR="0009609E" w:rsidRPr="00F11D34" w:rsidRDefault="0009609E"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color w:val="000000"/>
                <w:sz w:val="20"/>
                <w:szCs w:val="20"/>
              </w:rPr>
              <w:t> </w:t>
            </w:r>
          </w:p>
        </w:tc>
      </w:tr>
      <w:tr w:rsidR="0009609E" w:rsidRPr="00F11D34" w14:paraId="43C634B1" w14:textId="77777777" w:rsidTr="003028D0">
        <w:trPr>
          <w:trHeight w:val="230"/>
          <w:jc w:val="center"/>
        </w:trPr>
        <w:tc>
          <w:tcPr>
            <w:cnfStyle w:val="001000000000" w:firstRow="0" w:lastRow="0" w:firstColumn="1" w:lastColumn="0" w:oddVBand="0" w:evenVBand="0" w:oddHBand="0" w:evenHBand="0" w:firstRowFirstColumn="0" w:firstRowLastColumn="0" w:lastRowFirstColumn="0" w:lastRowLastColumn="0"/>
            <w:tcW w:w="4360" w:type="dxa"/>
            <w:hideMark/>
          </w:tcPr>
          <w:p w14:paraId="6C3685AB" w14:textId="77777777" w:rsidR="0009609E" w:rsidRPr="00F11D34" w:rsidRDefault="0009609E" w:rsidP="0009609E">
            <w:pPr>
              <w:rPr>
                <w:rFonts w:ascii="Times New Roman" w:eastAsia="Calibri" w:hAnsi="Times New Roman" w:cs="Times New Roman"/>
                <w:b w:val="0"/>
                <w:color w:val="000000"/>
                <w:sz w:val="20"/>
                <w:szCs w:val="20"/>
              </w:rPr>
            </w:pPr>
            <w:r w:rsidRPr="00F11D34">
              <w:rPr>
                <w:rFonts w:ascii="Times New Roman" w:eastAsia="Calibri" w:hAnsi="Times New Roman" w:cs="Times New Roman"/>
                <w:b w:val="0"/>
                <w:snapToGrid w:val="0"/>
                <w:color w:val="000000"/>
                <w:sz w:val="20"/>
                <w:szCs w:val="20"/>
              </w:rPr>
              <w:t>- Preču un pakalpojumu bilance</w:t>
            </w:r>
          </w:p>
        </w:tc>
        <w:tc>
          <w:tcPr>
            <w:tcW w:w="960" w:type="dxa"/>
            <w:hideMark/>
          </w:tcPr>
          <w:p w14:paraId="02B2CF76" w14:textId="77777777" w:rsidR="0009609E" w:rsidRPr="00F11D34"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color w:val="000000"/>
                <w:sz w:val="20"/>
                <w:szCs w:val="20"/>
              </w:rPr>
              <w:t> </w:t>
            </w:r>
          </w:p>
        </w:tc>
        <w:tc>
          <w:tcPr>
            <w:tcW w:w="786" w:type="dxa"/>
            <w:vAlign w:val="center"/>
            <w:hideMark/>
          </w:tcPr>
          <w:p w14:paraId="20CD895B" w14:textId="26045DA2"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w:t>
            </w:r>
          </w:p>
        </w:tc>
        <w:tc>
          <w:tcPr>
            <w:tcW w:w="787" w:type="dxa"/>
            <w:vAlign w:val="center"/>
            <w:hideMark/>
          </w:tcPr>
          <w:p w14:paraId="081B3757" w14:textId="77DBBFB0"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787" w:type="dxa"/>
            <w:vAlign w:val="center"/>
            <w:hideMark/>
          </w:tcPr>
          <w:p w14:paraId="1726AF78" w14:textId="577A1097"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787" w:type="dxa"/>
            <w:vAlign w:val="center"/>
            <w:hideMark/>
          </w:tcPr>
          <w:p w14:paraId="42263E2C" w14:textId="3C765F65"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w:t>
            </w:r>
          </w:p>
        </w:tc>
        <w:tc>
          <w:tcPr>
            <w:tcW w:w="787" w:type="dxa"/>
            <w:vAlign w:val="center"/>
            <w:hideMark/>
          </w:tcPr>
          <w:p w14:paraId="502C04EF" w14:textId="6B4B99E6"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p>
        </w:tc>
      </w:tr>
      <w:tr w:rsidR="0009609E" w:rsidRPr="00F11D34" w14:paraId="7499B61A" w14:textId="77777777" w:rsidTr="003028D0">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4360" w:type="dxa"/>
            <w:hideMark/>
          </w:tcPr>
          <w:p w14:paraId="25E04B69" w14:textId="77777777" w:rsidR="0009609E" w:rsidRPr="00F11D34" w:rsidRDefault="0009609E" w:rsidP="0009609E">
            <w:pPr>
              <w:rPr>
                <w:rFonts w:ascii="Times New Roman" w:eastAsia="Calibri" w:hAnsi="Times New Roman" w:cs="Times New Roman"/>
                <w:b w:val="0"/>
                <w:color w:val="000000"/>
                <w:sz w:val="20"/>
                <w:szCs w:val="20"/>
              </w:rPr>
            </w:pPr>
            <w:r w:rsidRPr="00F11D34">
              <w:rPr>
                <w:rFonts w:ascii="Times New Roman" w:eastAsia="Calibri" w:hAnsi="Times New Roman" w:cs="Times New Roman"/>
                <w:b w:val="0"/>
                <w:snapToGrid w:val="0"/>
                <w:color w:val="000000"/>
                <w:sz w:val="20"/>
                <w:szCs w:val="20"/>
              </w:rPr>
              <w:t>- Ienākumu un pārvedumu bilance</w:t>
            </w:r>
          </w:p>
        </w:tc>
        <w:tc>
          <w:tcPr>
            <w:tcW w:w="960" w:type="dxa"/>
            <w:hideMark/>
          </w:tcPr>
          <w:p w14:paraId="28B9BE35" w14:textId="77777777" w:rsidR="0009609E" w:rsidRPr="00F11D34"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snapToGrid w:val="0"/>
                <w:color w:val="000000"/>
                <w:sz w:val="20"/>
                <w:szCs w:val="20"/>
              </w:rPr>
              <w:t> </w:t>
            </w:r>
          </w:p>
        </w:tc>
        <w:tc>
          <w:tcPr>
            <w:tcW w:w="786" w:type="dxa"/>
            <w:vAlign w:val="center"/>
            <w:hideMark/>
          </w:tcPr>
          <w:p w14:paraId="78C2C088" w14:textId="6A91D57C"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-0,3</w:t>
            </w:r>
          </w:p>
        </w:tc>
        <w:tc>
          <w:tcPr>
            <w:tcW w:w="787" w:type="dxa"/>
            <w:vAlign w:val="center"/>
            <w:hideMark/>
          </w:tcPr>
          <w:p w14:paraId="626113F8" w14:textId="4C0649F3"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-0,2</w:t>
            </w:r>
          </w:p>
        </w:tc>
        <w:tc>
          <w:tcPr>
            <w:tcW w:w="787" w:type="dxa"/>
            <w:vAlign w:val="center"/>
            <w:hideMark/>
          </w:tcPr>
          <w:p w14:paraId="414806F5" w14:textId="5A9FC9A9"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-0,2</w:t>
            </w:r>
          </w:p>
        </w:tc>
        <w:tc>
          <w:tcPr>
            <w:tcW w:w="787" w:type="dxa"/>
            <w:vAlign w:val="center"/>
            <w:hideMark/>
          </w:tcPr>
          <w:p w14:paraId="033FB422" w14:textId="3A7302D6"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-0,2</w:t>
            </w:r>
          </w:p>
        </w:tc>
        <w:tc>
          <w:tcPr>
            <w:tcW w:w="787" w:type="dxa"/>
            <w:vAlign w:val="center"/>
            <w:hideMark/>
          </w:tcPr>
          <w:p w14:paraId="3DEE28A2" w14:textId="52076C7B" w:rsidR="0009609E" w:rsidRPr="00F11D34" w:rsidRDefault="0009609E" w:rsidP="00F171EC">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color w:val="000000"/>
                <w:sz w:val="20"/>
                <w:szCs w:val="20"/>
              </w:rPr>
              <w:t>-0,2</w:t>
            </w:r>
          </w:p>
        </w:tc>
      </w:tr>
      <w:tr w:rsidR="0009609E" w:rsidRPr="00F11D34" w14:paraId="0A4D4119" w14:textId="77777777" w:rsidTr="003028D0">
        <w:trPr>
          <w:trHeight w:val="252"/>
          <w:jc w:val="center"/>
        </w:trPr>
        <w:tc>
          <w:tcPr>
            <w:cnfStyle w:val="001000000000" w:firstRow="0" w:lastRow="0" w:firstColumn="1" w:lastColumn="0" w:oddVBand="0" w:evenVBand="0" w:oddHBand="0" w:evenHBand="0" w:firstRowFirstColumn="0" w:firstRowLastColumn="0" w:lastRowFirstColumn="0" w:lastRowLastColumn="0"/>
            <w:tcW w:w="4360" w:type="dxa"/>
            <w:hideMark/>
          </w:tcPr>
          <w:p w14:paraId="47EBFFD3" w14:textId="77777777" w:rsidR="0009609E" w:rsidRPr="00F11D34" w:rsidRDefault="0009609E" w:rsidP="0009609E">
            <w:pPr>
              <w:rPr>
                <w:rFonts w:ascii="Times New Roman" w:eastAsia="Calibri" w:hAnsi="Times New Roman" w:cs="Times New Roman"/>
                <w:b w:val="0"/>
                <w:color w:val="000000"/>
                <w:sz w:val="20"/>
                <w:szCs w:val="20"/>
              </w:rPr>
            </w:pPr>
            <w:r w:rsidRPr="00F11D34">
              <w:rPr>
                <w:rFonts w:ascii="Times New Roman" w:eastAsia="Calibri" w:hAnsi="Times New Roman" w:cs="Times New Roman"/>
                <w:b w:val="0"/>
                <w:snapToGrid w:val="0"/>
                <w:color w:val="000000"/>
                <w:sz w:val="20"/>
                <w:szCs w:val="20"/>
              </w:rPr>
              <w:t>- Kapitāla konts</w:t>
            </w:r>
          </w:p>
        </w:tc>
        <w:tc>
          <w:tcPr>
            <w:tcW w:w="960" w:type="dxa"/>
            <w:hideMark/>
          </w:tcPr>
          <w:p w14:paraId="43C22F92" w14:textId="77777777" w:rsidR="0009609E" w:rsidRPr="00F11D34"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snapToGrid w:val="0"/>
                <w:color w:val="000000"/>
                <w:sz w:val="20"/>
                <w:szCs w:val="20"/>
              </w:rPr>
              <w:t> </w:t>
            </w:r>
          </w:p>
        </w:tc>
        <w:tc>
          <w:tcPr>
            <w:tcW w:w="786" w:type="dxa"/>
            <w:vAlign w:val="center"/>
            <w:hideMark/>
          </w:tcPr>
          <w:p w14:paraId="0BA7DFCA" w14:textId="670A2B72"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snapToGrid w:val="0"/>
                <w:color w:val="000000"/>
                <w:sz w:val="20"/>
                <w:szCs w:val="20"/>
              </w:rPr>
              <w:t>2,5</w:t>
            </w:r>
          </w:p>
        </w:tc>
        <w:tc>
          <w:tcPr>
            <w:tcW w:w="787" w:type="dxa"/>
            <w:vAlign w:val="center"/>
            <w:hideMark/>
          </w:tcPr>
          <w:p w14:paraId="42410380" w14:textId="184AD0EB"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w:t>
            </w:r>
          </w:p>
        </w:tc>
        <w:tc>
          <w:tcPr>
            <w:tcW w:w="787" w:type="dxa"/>
            <w:vAlign w:val="center"/>
            <w:hideMark/>
          </w:tcPr>
          <w:p w14:paraId="53302B67" w14:textId="1C62AE30"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787" w:type="dxa"/>
            <w:vAlign w:val="center"/>
            <w:hideMark/>
          </w:tcPr>
          <w:p w14:paraId="79FDE974" w14:textId="7133EA41"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787" w:type="dxa"/>
            <w:vAlign w:val="center"/>
            <w:hideMark/>
          </w:tcPr>
          <w:p w14:paraId="1CF1FB95" w14:textId="29BBE08D"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r>
      <w:tr w:rsidR="0009609E" w:rsidRPr="00F11D34" w14:paraId="21921F08" w14:textId="77777777" w:rsidTr="003028D0">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360" w:type="dxa"/>
            <w:hideMark/>
          </w:tcPr>
          <w:p w14:paraId="50C717E0" w14:textId="77777777" w:rsidR="0009609E" w:rsidRPr="00F11D34" w:rsidRDefault="0009609E" w:rsidP="0009609E">
            <w:pPr>
              <w:rPr>
                <w:rFonts w:ascii="Times New Roman" w:eastAsia="Calibri" w:hAnsi="Times New Roman" w:cs="Times New Roman"/>
                <w:b w:val="0"/>
                <w:color w:val="000000"/>
                <w:sz w:val="20"/>
                <w:szCs w:val="20"/>
              </w:rPr>
            </w:pPr>
            <w:r w:rsidRPr="00F11D34">
              <w:rPr>
                <w:rFonts w:ascii="Times New Roman" w:eastAsia="Calibri" w:hAnsi="Times New Roman" w:cs="Times New Roman"/>
                <w:b w:val="0"/>
                <w:snapToGrid w:val="0"/>
                <w:color w:val="000000"/>
                <w:sz w:val="20"/>
                <w:szCs w:val="20"/>
              </w:rPr>
              <w:t>2. Neto aizdevumi/ aizņemšanās privātajā sektorā</w:t>
            </w:r>
          </w:p>
        </w:tc>
        <w:tc>
          <w:tcPr>
            <w:tcW w:w="960" w:type="dxa"/>
            <w:hideMark/>
          </w:tcPr>
          <w:p w14:paraId="00EBC445" w14:textId="77777777" w:rsidR="0009609E" w:rsidRPr="00F11D34"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snapToGrid w:val="0"/>
                <w:color w:val="000000"/>
                <w:sz w:val="20"/>
                <w:szCs w:val="20"/>
              </w:rPr>
              <w:t>B.9</w:t>
            </w:r>
          </w:p>
        </w:tc>
        <w:tc>
          <w:tcPr>
            <w:tcW w:w="786" w:type="dxa"/>
            <w:vAlign w:val="center"/>
            <w:hideMark/>
          </w:tcPr>
          <w:p w14:paraId="6FD54103" w14:textId="687AF39F"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snapToGrid w:val="0"/>
                <w:color w:val="000000"/>
                <w:sz w:val="20"/>
                <w:szCs w:val="20"/>
              </w:rPr>
              <w:t>0,8</w:t>
            </w:r>
          </w:p>
        </w:tc>
        <w:tc>
          <w:tcPr>
            <w:tcW w:w="787" w:type="dxa"/>
            <w:vAlign w:val="center"/>
            <w:hideMark/>
          </w:tcPr>
          <w:p w14:paraId="632C07E6" w14:textId="1750E07D"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snapToGrid w:val="0"/>
                <w:color w:val="000000"/>
                <w:sz w:val="20"/>
                <w:szCs w:val="20"/>
              </w:rPr>
              <w:t>1,9</w:t>
            </w:r>
          </w:p>
        </w:tc>
        <w:tc>
          <w:tcPr>
            <w:tcW w:w="787" w:type="dxa"/>
            <w:vAlign w:val="center"/>
            <w:hideMark/>
          </w:tcPr>
          <w:p w14:paraId="2B37F905" w14:textId="70301970"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snapToGrid w:val="0"/>
                <w:color w:val="000000"/>
                <w:sz w:val="20"/>
                <w:szCs w:val="20"/>
              </w:rPr>
              <w:t>1,9</w:t>
            </w:r>
          </w:p>
        </w:tc>
        <w:tc>
          <w:tcPr>
            <w:tcW w:w="787" w:type="dxa"/>
            <w:vAlign w:val="center"/>
            <w:hideMark/>
          </w:tcPr>
          <w:p w14:paraId="1D58EEF7" w14:textId="1B864355"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snapToGrid w:val="0"/>
                <w:color w:val="000000"/>
                <w:sz w:val="20"/>
                <w:szCs w:val="20"/>
              </w:rPr>
              <w:t>1,5</w:t>
            </w:r>
          </w:p>
        </w:tc>
        <w:tc>
          <w:tcPr>
            <w:tcW w:w="787" w:type="dxa"/>
            <w:vAlign w:val="center"/>
            <w:hideMark/>
          </w:tcPr>
          <w:p w14:paraId="77D42B68" w14:textId="32454DA7"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snapToGrid w:val="0"/>
                <w:color w:val="000000"/>
                <w:sz w:val="20"/>
                <w:szCs w:val="20"/>
              </w:rPr>
              <w:t>1,6</w:t>
            </w:r>
          </w:p>
        </w:tc>
      </w:tr>
      <w:tr w:rsidR="0009609E" w:rsidRPr="00F11D34" w14:paraId="1BE793CE" w14:textId="77777777" w:rsidTr="003028D0">
        <w:trPr>
          <w:trHeight w:val="272"/>
          <w:jc w:val="center"/>
        </w:trPr>
        <w:tc>
          <w:tcPr>
            <w:cnfStyle w:val="001000000000" w:firstRow="0" w:lastRow="0" w:firstColumn="1" w:lastColumn="0" w:oddVBand="0" w:evenVBand="0" w:oddHBand="0" w:evenHBand="0" w:firstRowFirstColumn="0" w:firstRowLastColumn="0" w:lastRowFirstColumn="0" w:lastRowLastColumn="0"/>
            <w:tcW w:w="4360" w:type="dxa"/>
            <w:hideMark/>
          </w:tcPr>
          <w:p w14:paraId="7DBD3F42" w14:textId="77777777" w:rsidR="0009609E" w:rsidRPr="00F11D34" w:rsidRDefault="0009609E" w:rsidP="0009609E">
            <w:pPr>
              <w:rPr>
                <w:rFonts w:ascii="Times New Roman" w:eastAsia="Calibri" w:hAnsi="Times New Roman" w:cs="Times New Roman"/>
                <w:b w:val="0"/>
                <w:color w:val="000000"/>
                <w:sz w:val="20"/>
                <w:szCs w:val="20"/>
              </w:rPr>
            </w:pPr>
            <w:r w:rsidRPr="00F11D34">
              <w:rPr>
                <w:rFonts w:ascii="Times New Roman" w:eastAsia="Calibri" w:hAnsi="Times New Roman" w:cs="Times New Roman"/>
                <w:b w:val="0"/>
                <w:snapToGrid w:val="0"/>
                <w:color w:val="000000"/>
                <w:sz w:val="20"/>
                <w:szCs w:val="20"/>
              </w:rPr>
              <w:t>3. Neto aizdevumi/ aizņemšanās vispārējās valdības sektorā</w:t>
            </w:r>
          </w:p>
        </w:tc>
        <w:tc>
          <w:tcPr>
            <w:tcW w:w="960" w:type="dxa"/>
            <w:hideMark/>
          </w:tcPr>
          <w:p w14:paraId="6030C082" w14:textId="77777777" w:rsidR="0009609E" w:rsidRPr="00F11D34" w:rsidRDefault="0009609E" w:rsidP="0009609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snapToGrid w:val="0"/>
                <w:color w:val="000000"/>
                <w:sz w:val="20"/>
                <w:szCs w:val="20"/>
              </w:rPr>
              <w:t>EDP B.9</w:t>
            </w:r>
          </w:p>
        </w:tc>
        <w:tc>
          <w:tcPr>
            <w:tcW w:w="786" w:type="dxa"/>
            <w:vAlign w:val="center"/>
            <w:hideMark/>
          </w:tcPr>
          <w:p w14:paraId="49562D0B" w14:textId="085318BC"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787" w:type="dxa"/>
            <w:vAlign w:val="center"/>
            <w:hideMark/>
          </w:tcPr>
          <w:p w14:paraId="0A0AD578" w14:textId="45B09669"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787" w:type="dxa"/>
            <w:vAlign w:val="center"/>
            <w:hideMark/>
          </w:tcPr>
          <w:p w14:paraId="5CAC013B" w14:textId="32C0401A"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787" w:type="dxa"/>
            <w:vAlign w:val="center"/>
            <w:hideMark/>
          </w:tcPr>
          <w:p w14:paraId="4DB82DD1" w14:textId="7363B985"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787" w:type="dxa"/>
            <w:vAlign w:val="center"/>
            <w:hideMark/>
          </w:tcPr>
          <w:p w14:paraId="2DC28EA8" w14:textId="18554230" w:rsidR="0009609E" w:rsidRPr="00F11D34" w:rsidRDefault="00F171EC"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r>
      <w:tr w:rsidR="0009609E" w:rsidRPr="00F11D34" w14:paraId="6DAEF721" w14:textId="77777777" w:rsidTr="003028D0">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4360" w:type="dxa"/>
            <w:hideMark/>
          </w:tcPr>
          <w:p w14:paraId="1E1E1856" w14:textId="77777777" w:rsidR="0009609E" w:rsidRPr="00F11D34" w:rsidRDefault="0009609E" w:rsidP="0009609E">
            <w:pPr>
              <w:rPr>
                <w:rFonts w:ascii="Times New Roman" w:eastAsia="Calibri" w:hAnsi="Times New Roman" w:cs="Times New Roman"/>
                <w:b w:val="0"/>
                <w:color w:val="000000"/>
                <w:sz w:val="20"/>
                <w:szCs w:val="20"/>
              </w:rPr>
            </w:pPr>
            <w:r w:rsidRPr="00F11D34">
              <w:rPr>
                <w:rFonts w:ascii="Times New Roman" w:eastAsia="Calibri" w:hAnsi="Times New Roman" w:cs="Times New Roman"/>
                <w:b w:val="0"/>
                <w:snapToGrid w:val="0"/>
                <w:color w:val="000000"/>
                <w:sz w:val="20"/>
                <w:szCs w:val="20"/>
              </w:rPr>
              <w:t>4. Statistiskā novirze</w:t>
            </w:r>
          </w:p>
        </w:tc>
        <w:tc>
          <w:tcPr>
            <w:tcW w:w="960" w:type="dxa"/>
            <w:hideMark/>
          </w:tcPr>
          <w:p w14:paraId="03984E33" w14:textId="77777777" w:rsidR="0009609E" w:rsidRPr="00F11D34" w:rsidRDefault="0009609E" w:rsidP="0009609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F11D34">
              <w:rPr>
                <w:rFonts w:ascii="Times New Roman" w:eastAsia="Calibri" w:hAnsi="Times New Roman" w:cs="Times New Roman"/>
                <w:snapToGrid w:val="0"/>
                <w:color w:val="000000"/>
                <w:sz w:val="20"/>
                <w:szCs w:val="20"/>
              </w:rPr>
              <w:t> </w:t>
            </w:r>
          </w:p>
        </w:tc>
        <w:tc>
          <w:tcPr>
            <w:tcW w:w="786" w:type="dxa"/>
            <w:vAlign w:val="center"/>
            <w:hideMark/>
          </w:tcPr>
          <w:p w14:paraId="04FC9B6D" w14:textId="5646BF41"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color w:val="000000"/>
                <w:sz w:val="20"/>
                <w:szCs w:val="20"/>
              </w:rPr>
            </w:pPr>
            <w:r>
              <w:rPr>
                <w:rFonts w:ascii="Times New Roman" w:eastAsia="Calibri" w:hAnsi="Times New Roman" w:cs="Times New Roman"/>
                <w:i/>
                <w:iCs/>
                <w:color w:val="000000"/>
                <w:sz w:val="20"/>
                <w:szCs w:val="20"/>
              </w:rPr>
              <w:t>4,1</w:t>
            </w:r>
          </w:p>
        </w:tc>
        <w:tc>
          <w:tcPr>
            <w:tcW w:w="787" w:type="dxa"/>
            <w:vAlign w:val="center"/>
            <w:hideMark/>
          </w:tcPr>
          <w:p w14:paraId="69E34E1B" w14:textId="45F009F3"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color w:val="000000"/>
                <w:sz w:val="20"/>
                <w:szCs w:val="20"/>
              </w:rPr>
            </w:pPr>
            <w:r>
              <w:rPr>
                <w:rFonts w:ascii="Times New Roman" w:eastAsia="Calibri" w:hAnsi="Times New Roman" w:cs="Times New Roman"/>
                <w:i/>
                <w:iCs/>
                <w:color w:val="000000"/>
                <w:sz w:val="20"/>
                <w:szCs w:val="20"/>
              </w:rPr>
              <w:t>0,0</w:t>
            </w:r>
          </w:p>
        </w:tc>
        <w:tc>
          <w:tcPr>
            <w:tcW w:w="787" w:type="dxa"/>
            <w:vAlign w:val="center"/>
            <w:hideMark/>
          </w:tcPr>
          <w:p w14:paraId="503853C6" w14:textId="25A3791F"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color w:val="000000"/>
                <w:sz w:val="20"/>
                <w:szCs w:val="20"/>
              </w:rPr>
            </w:pPr>
            <w:r>
              <w:rPr>
                <w:rFonts w:ascii="Times New Roman" w:eastAsia="Calibri" w:hAnsi="Times New Roman" w:cs="Times New Roman"/>
                <w:i/>
                <w:iCs/>
                <w:color w:val="000000"/>
                <w:sz w:val="20"/>
                <w:szCs w:val="20"/>
              </w:rPr>
              <w:t>0,0</w:t>
            </w:r>
          </w:p>
        </w:tc>
        <w:tc>
          <w:tcPr>
            <w:tcW w:w="787" w:type="dxa"/>
            <w:vAlign w:val="center"/>
            <w:hideMark/>
          </w:tcPr>
          <w:p w14:paraId="1BF2B756" w14:textId="0A4045CC"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color w:val="000000"/>
                <w:sz w:val="20"/>
                <w:szCs w:val="20"/>
              </w:rPr>
            </w:pPr>
            <w:r>
              <w:rPr>
                <w:rFonts w:ascii="Times New Roman" w:eastAsia="Calibri" w:hAnsi="Times New Roman" w:cs="Times New Roman"/>
                <w:i/>
                <w:iCs/>
                <w:color w:val="000000"/>
                <w:sz w:val="20"/>
                <w:szCs w:val="20"/>
              </w:rPr>
              <w:t>0,0</w:t>
            </w:r>
          </w:p>
        </w:tc>
        <w:tc>
          <w:tcPr>
            <w:tcW w:w="787" w:type="dxa"/>
            <w:vAlign w:val="center"/>
            <w:hideMark/>
          </w:tcPr>
          <w:p w14:paraId="49702101" w14:textId="63046D31" w:rsidR="0009609E" w:rsidRPr="00F11D34" w:rsidRDefault="00F171EC"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color w:val="000000"/>
                <w:sz w:val="20"/>
                <w:szCs w:val="20"/>
              </w:rPr>
            </w:pPr>
            <w:r>
              <w:rPr>
                <w:rFonts w:ascii="Times New Roman" w:eastAsia="Calibri" w:hAnsi="Times New Roman" w:cs="Times New Roman"/>
                <w:i/>
                <w:iCs/>
                <w:color w:val="000000"/>
                <w:sz w:val="20"/>
                <w:szCs w:val="20"/>
              </w:rPr>
              <w:t>0,0</w:t>
            </w:r>
          </w:p>
        </w:tc>
      </w:tr>
    </w:tbl>
    <w:p w14:paraId="6C4BB009" w14:textId="77777777" w:rsidR="00F51615" w:rsidRPr="00F51615" w:rsidRDefault="00F51615" w:rsidP="00F51615">
      <w:pPr>
        <w:rPr>
          <w:rFonts w:ascii="Times New Roman" w:hAnsi="Times New Roman" w:cs="Times New Roman"/>
          <w:b/>
          <w:color w:val="000000"/>
          <w:szCs w:val="24"/>
        </w:rPr>
      </w:pPr>
    </w:p>
    <w:p w14:paraId="2EAD3DA2" w14:textId="26C858DA" w:rsidR="00F51615" w:rsidRPr="00F51615" w:rsidRDefault="00F51615" w:rsidP="000B76F4">
      <w:pPr>
        <w:spacing w:after="60"/>
        <w:rPr>
          <w:rFonts w:ascii="Times New Roman" w:hAnsi="Times New Roman" w:cs="Times New Roman"/>
          <w:b/>
          <w:color w:val="000000"/>
          <w:szCs w:val="24"/>
        </w:rPr>
      </w:pPr>
      <w:r w:rsidRPr="00F51615">
        <w:rPr>
          <w:rFonts w:ascii="Times New Roman" w:hAnsi="Times New Roman" w:cs="Times New Roman"/>
          <w:b/>
          <w:color w:val="000000"/>
          <w:szCs w:val="24"/>
        </w:rPr>
        <w:br w:type="page"/>
      </w:r>
      <w:r w:rsidR="00C81719">
        <w:rPr>
          <w:rFonts w:ascii="Times New Roman" w:hAnsi="Times New Roman" w:cs="Times New Roman"/>
          <w:b/>
          <w:color w:val="000000"/>
          <w:sz w:val="24"/>
          <w:szCs w:val="24"/>
        </w:rPr>
        <w:t>2a.</w:t>
      </w:r>
      <w:r w:rsidRPr="00C81719">
        <w:rPr>
          <w:rFonts w:ascii="Times New Roman" w:hAnsi="Times New Roman" w:cs="Times New Roman"/>
          <w:b/>
          <w:color w:val="000000"/>
          <w:sz w:val="24"/>
          <w:szCs w:val="24"/>
        </w:rPr>
        <w:t xml:space="preserve">tabula. Vispārējās valdības budžeta attīstība </w:t>
      </w:r>
    </w:p>
    <w:tbl>
      <w:tblPr>
        <w:tblStyle w:val="GridTable6ColorfulAccent1"/>
        <w:tblW w:w="9645" w:type="dxa"/>
        <w:jc w:val="center"/>
        <w:tblLayout w:type="fixed"/>
        <w:tblLook w:val="04A0" w:firstRow="1" w:lastRow="0" w:firstColumn="1" w:lastColumn="0" w:noHBand="0" w:noVBand="1"/>
      </w:tblPr>
      <w:tblGrid>
        <w:gridCol w:w="3681"/>
        <w:gridCol w:w="1134"/>
        <w:gridCol w:w="1134"/>
        <w:gridCol w:w="861"/>
        <w:gridCol w:w="708"/>
        <w:gridCol w:w="709"/>
        <w:gridCol w:w="709"/>
        <w:gridCol w:w="709"/>
      </w:tblGrid>
      <w:tr w:rsidR="000B76F4" w:rsidRPr="000B76F4" w14:paraId="548106DB" w14:textId="77777777" w:rsidTr="000B76F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FBDAF77" w14:textId="77777777" w:rsidR="000B76F4" w:rsidRPr="000B76F4" w:rsidRDefault="000B76F4" w:rsidP="005812B4">
            <w:pPr>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1134" w:type="dxa"/>
            <w:hideMark/>
          </w:tcPr>
          <w:p w14:paraId="7B012059" w14:textId="77777777" w:rsidR="000B76F4" w:rsidRPr="000B76F4" w:rsidRDefault="000B76F4" w:rsidP="005812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EKS kods </w:t>
            </w:r>
          </w:p>
        </w:tc>
        <w:tc>
          <w:tcPr>
            <w:tcW w:w="1134" w:type="dxa"/>
            <w:hideMark/>
          </w:tcPr>
          <w:p w14:paraId="7542F868" w14:textId="77777777" w:rsidR="000B76F4" w:rsidRPr="000B76F4" w:rsidRDefault="000B76F4" w:rsidP="005812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0B76F4">
              <w:rPr>
                <w:rFonts w:ascii="Times New Roman" w:eastAsia="Times New Roman" w:hAnsi="Times New Roman" w:cs="Times New Roman"/>
                <w:color w:val="auto"/>
                <w:sz w:val="20"/>
                <w:szCs w:val="20"/>
                <w:lang w:eastAsia="lv-LV"/>
              </w:rPr>
              <w:t>2014*</w:t>
            </w:r>
          </w:p>
        </w:tc>
        <w:tc>
          <w:tcPr>
            <w:tcW w:w="861" w:type="dxa"/>
            <w:hideMark/>
          </w:tcPr>
          <w:p w14:paraId="25409436" w14:textId="77777777" w:rsidR="000B76F4" w:rsidRPr="000B76F4" w:rsidRDefault="000B76F4" w:rsidP="005812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0B76F4">
              <w:rPr>
                <w:rFonts w:ascii="Times New Roman" w:eastAsia="Times New Roman" w:hAnsi="Times New Roman" w:cs="Times New Roman"/>
                <w:color w:val="auto"/>
                <w:sz w:val="20"/>
                <w:szCs w:val="20"/>
                <w:lang w:eastAsia="lv-LV"/>
              </w:rPr>
              <w:t>2014*</w:t>
            </w:r>
          </w:p>
        </w:tc>
        <w:tc>
          <w:tcPr>
            <w:tcW w:w="708" w:type="dxa"/>
            <w:hideMark/>
          </w:tcPr>
          <w:p w14:paraId="39829AC8" w14:textId="77777777" w:rsidR="000B76F4" w:rsidRPr="000B76F4" w:rsidRDefault="000B76F4" w:rsidP="005812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0B76F4">
              <w:rPr>
                <w:rFonts w:ascii="Times New Roman" w:eastAsia="Times New Roman" w:hAnsi="Times New Roman" w:cs="Times New Roman"/>
                <w:color w:val="auto"/>
                <w:sz w:val="20"/>
                <w:szCs w:val="20"/>
                <w:lang w:eastAsia="lv-LV"/>
              </w:rPr>
              <w:t>2015</w:t>
            </w:r>
          </w:p>
        </w:tc>
        <w:tc>
          <w:tcPr>
            <w:tcW w:w="709" w:type="dxa"/>
            <w:hideMark/>
          </w:tcPr>
          <w:p w14:paraId="6278C937" w14:textId="77777777" w:rsidR="000B76F4" w:rsidRPr="000B76F4" w:rsidRDefault="000B76F4" w:rsidP="005812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0B76F4">
              <w:rPr>
                <w:rFonts w:ascii="Times New Roman" w:eastAsia="Times New Roman" w:hAnsi="Times New Roman" w:cs="Times New Roman"/>
                <w:color w:val="auto"/>
                <w:sz w:val="20"/>
                <w:szCs w:val="20"/>
                <w:lang w:eastAsia="lv-LV"/>
              </w:rPr>
              <w:t>2016</w:t>
            </w:r>
          </w:p>
        </w:tc>
        <w:tc>
          <w:tcPr>
            <w:tcW w:w="709" w:type="dxa"/>
            <w:hideMark/>
          </w:tcPr>
          <w:p w14:paraId="4ECC25A9" w14:textId="77777777" w:rsidR="000B76F4" w:rsidRPr="000B76F4" w:rsidRDefault="000B76F4" w:rsidP="005812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0B76F4">
              <w:rPr>
                <w:rFonts w:ascii="Times New Roman" w:eastAsia="Times New Roman" w:hAnsi="Times New Roman" w:cs="Times New Roman"/>
                <w:color w:val="auto"/>
                <w:sz w:val="20"/>
                <w:szCs w:val="20"/>
                <w:lang w:eastAsia="lv-LV"/>
              </w:rPr>
              <w:t>2017</w:t>
            </w:r>
          </w:p>
        </w:tc>
        <w:tc>
          <w:tcPr>
            <w:tcW w:w="709" w:type="dxa"/>
            <w:hideMark/>
          </w:tcPr>
          <w:p w14:paraId="08CDA6B4" w14:textId="77777777" w:rsidR="000B76F4" w:rsidRPr="000B76F4" w:rsidRDefault="000B76F4" w:rsidP="005812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0B76F4">
              <w:rPr>
                <w:rFonts w:ascii="Times New Roman" w:eastAsia="Times New Roman" w:hAnsi="Times New Roman" w:cs="Times New Roman"/>
                <w:color w:val="auto"/>
                <w:sz w:val="20"/>
                <w:szCs w:val="20"/>
                <w:lang w:eastAsia="lv-LV"/>
              </w:rPr>
              <w:t>2018</w:t>
            </w:r>
          </w:p>
        </w:tc>
      </w:tr>
      <w:tr w:rsidR="000B76F4" w:rsidRPr="000B76F4" w14:paraId="60137773" w14:textId="77777777" w:rsidTr="000B76F4">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74F0D3A0" w14:textId="77777777" w:rsidR="000B76F4" w:rsidRPr="000B76F4" w:rsidRDefault="000B76F4" w:rsidP="005812B4">
            <w:pPr>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1134" w:type="dxa"/>
            <w:hideMark/>
          </w:tcPr>
          <w:p w14:paraId="55F399AF"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 </w:t>
            </w:r>
          </w:p>
        </w:tc>
        <w:tc>
          <w:tcPr>
            <w:tcW w:w="1134" w:type="dxa"/>
            <w:hideMark/>
          </w:tcPr>
          <w:p w14:paraId="7D5BB273"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milj. </w:t>
            </w:r>
            <w:r w:rsidRPr="000B76F4">
              <w:rPr>
                <w:rFonts w:ascii="Times New Roman" w:eastAsia="Times New Roman" w:hAnsi="Times New Roman" w:cs="Times New Roman"/>
                <w:i/>
                <w:iCs/>
                <w:color w:val="auto"/>
                <w:sz w:val="20"/>
                <w:szCs w:val="20"/>
                <w:lang w:eastAsia="lv-LV"/>
              </w:rPr>
              <w:t>euro</w:t>
            </w:r>
          </w:p>
        </w:tc>
        <w:tc>
          <w:tcPr>
            <w:tcW w:w="3696" w:type="dxa"/>
            <w:gridSpan w:val="5"/>
            <w:hideMark/>
          </w:tcPr>
          <w:p w14:paraId="41D9EADA"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 no IKP </w:t>
            </w:r>
          </w:p>
        </w:tc>
      </w:tr>
      <w:tr w:rsidR="000B76F4" w:rsidRPr="000B76F4" w14:paraId="035C2EB0" w14:textId="77777777" w:rsidTr="000B76F4">
        <w:trPr>
          <w:trHeight w:val="225"/>
          <w:jc w:val="center"/>
        </w:trPr>
        <w:tc>
          <w:tcPr>
            <w:cnfStyle w:val="001000000000" w:firstRow="0" w:lastRow="0" w:firstColumn="1" w:lastColumn="0" w:oddVBand="0" w:evenVBand="0" w:oddHBand="0" w:evenHBand="0" w:firstRowFirstColumn="0" w:firstRowLastColumn="0" w:lastRowFirstColumn="0" w:lastRowLastColumn="0"/>
            <w:tcW w:w="9645" w:type="dxa"/>
            <w:gridSpan w:val="8"/>
            <w:hideMark/>
          </w:tcPr>
          <w:p w14:paraId="65DA50D7" w14:textId="77777777" w:rsidR="000B76F4" w:rsidRPr="000B76F4" w:rsidRDefault="000B76F4" w:rsidP="005812B4">
            <w:pPr>
              <w:jc w:val="center"/>
              <w:rPr>
                <w:rFonts w:ascii="Times New Roman" w:eastAsia="Times New Roman" w:hAnsi="Times New Roman" w:cs="Times New Roman"/>
                <w:b w:val="0"/>
                <w:bCs w:val="0"/>
                <w:color w:val="auto"/>
                <w:sz w:val="20"/>
                <w:szCs w:val="20"/>
                <w:lang w:eastAsia="lv-LV"/>
              </w:rPr>
            </w:pPr>
            <w:r w:rsidRPr="000B76F4">
              <w:rPr>
                <w:rFonts w:ascii="Times New Roman" w:eastAsia="Times New Roman" w:hAnsi="Times New Roman" w:cs="Times New Roman"/>
                <w:color w:val="auto"/>
                <w:sz w:val="20"/>
                <w:szCs w:val="20"/>
                <w:lang w:eastAsia="lv-LV"/>
              </w:rPr>
              <w:t>Neto aizdevumi (+) vai aizņēmumi (–) (B.9) pa apakšsektoriem</w:t>
            </w:r>
          </w:p>
        </w:tc>
      </w:tr>
      <w:tr w:rsidR="000B76F4" w:rsidRPr="000B76F4" w14:paraId="75C09CEF" w14:textId="77777777" w:rsidTr="000B76F4">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277BC9B"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 Vispārējā valdība</w:t>
            </w:r>
          </w:p>
        </w:tc>
        <w:tc>
          <w:tcPr>
            <w:tcW w:w="1134" w:type="dxa"/>
            <w:hideMark/>
          </w:tcPr>
          <w:p w14:paraId="468B2F4B"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S.13 </w:t>
            </w:r>
          </w:p>
        </w:tc>
        <w:tc>
          <w:tcPr>
            <w:tcW w:w="1134" w:type="dxa"/>
            <w:vAlign w:val="center"/>
            <w:hideMark/>
          </w:tcPr>
          <w:p w14:paraId="64A237CC"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-339,8</w:t>
            </w:r>
          </w:p>
        </w:tc>
        <w:tc>
          <w:tcPr>
            <w:tcW w:w="861" w:type="dxa"/>
            <w:vAlign w:val="center"/>
            <w:hideMark/>
          </w:tcPr>
          <w:p w14:paraId="3E437F0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-1,4</w:t>
            </w:r>
          </w:p>
        </w:tc>
        <w:tc>
          <w:tcPr>
            <w:tcW w:w="708" w:type="dxa"/>
            <w:vAlign w:val="center"/>
            <w:hideMark/>
          </w:tcPr>
          <w:p w14:paraId="3E6C007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-1,5</w:t>
            </w:r>
          </w:p>
        </w:tc>
        <w:tc>
          <w:tcPr>
            <w:tcW w:w="709" w:type="dxa"/>
            <w:vAlign w:val="center"/>
            <w:hideMark/>
          </w:tcPr>
          <w:p w14:paraId="50598F92"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-1,6</w:t>
            </w:r>
          </w:p>
        </w:tc>
        <w:tc>
          <w:tcPr>
            <w:tcW w:w="709" w:type="dxa"/>
            <w:vAlign w:val="center"/>
            <w:hideMark/>
          </w:tcPr>
          <w:p w14:paraId="16E5A77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-1,3</w:t>
            </w:r>
          </w:p>
        </w:tc>
        <w:tc>
          <w:tcPr>
            <w:tcW w:w="709" w:type="dxa"/>
            <w:vAlign w:val="center"/>
            <w:hideMark/>
          </w:tcPr>
          <w:p w14:paraId="03552D89"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-1,7</w:t>
            </w:r>
          </w:p>
        </w:tc>
      </w:tr>
      <w:tr w:rsidR="000B76F4" w:rsidRPr="000B76F4" w14:paraId="26F6E343" w14:textId="77777777" w:rsidTr="000B76F4">
        <w:trPr>
          <w:trHeight w:val="26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7951778E"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2. Centrālā valdība</w:t>
            </w:r>
          </w:p>
        </w:tc>
        <w:tc>
          <w:tcPr>
            <w:tcW w:w="1134" w:type="dxa"/>
            <w:hideMark/>
          </w:tcPr>
          <w:p w14:paraId="456487BC"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S.1311 </w:t>
            </w:r>
          </w:p>
        </w:tc>
        <w:tc>
          <w:tcPr>
            <w:tcW w:w="1134" w:type="dxa"/>
            <w:vAlign w:val="center"/>
            <w:hideMark/>
          </w:tcPr>
          <w:p w14:paraId="3CB80898"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-410,1</w:t>
            </w:r>
          </w:p>
        </w:tc>
        <w:tc>
          <w:tcPr>
            <w:tcW w:w="861" w:type="dxa"/>
            <w:vAlign w:val="center"/>
            <w:hideMark/>
          </w:tcPr>
          <w:p w14:paraId="7B2E8C20"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-1,7</w:t>
            </w:r>
          </w:p>
        </w:tc>
        <w:tc>
          <w:tcPr>
            <w:tcW w:w="708" w:type="dxa"/>
            <w:vAlign w:val="center"/>
            <w:hideMark/>
          </w:tcPr>
          <w:p w14:paraId="43C2B0D2"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-1,9</w:t>
            </w:r>
          </w:p>
        </w:tc>
        <w:tc>
          <w:tcPr>
            <w:tcW w:w="709" w:type="dxa"/>
            <w:vAlign w:val="center"/>
            <w:hideMark/>
          </w:tcPr>
          <w:p w14:paraId="1F06323F"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-2,0</w:t>
            </w:r>
          </w:p>
        </w:tc>
        <w:tc>
          <w:tcPr>
            <w:tcW w:w="709" w:type="dxa"/>
            <w:vAlign w:val="center"/>
            <w:hideMark/>
          </w:tcPr>
          <w:p w14:paraId="4BC25914"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-2,0</w:t>
            </w:r>
          </w:p>
        </w:tc>
        <w:tc>
          <w:tcPr>
            <w:tcW w:w="709" w:type="dxa"/>
            <w:vAlign w:val="center"/>
            <w:hideMark/>
          </w:tcPr>
          <w:p w14:paraId="79E024F6"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-2,5</w:t>
            </w:r>
          </w:p>
        </w:tc>
      </w:tr>
      <w:tr w:rsidR="000B76F4" w:rsidRPr="000B76F4" w14:paraId="48046A85" w14:textId="77777777" w:rsidTr="000B76F4">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68793869"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3. Pavalsts valdība</w:t>
            </w:r>
          </w:p>
        </w:tc>
        <w:tc>
          <w:tcPr>
            <w:tcW w:w="1134" w:type="dxa"/>
            <w:hideMark/>
          </w:tcPr>
          <w:p w14:paraId="0D760165"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S.1312 </w:t>
            </w:r>
          </w:p>
        </w:tc>
        <w:tc>
          <w:tcPr>
            <w:tcW w:w="1134" w:type="dxa"/>
            <w:vAlign w:val="center"/>
            <w:hideMark/>
          </w:tcPr>
          <w:p w14:paraId="03202CBA"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861" w:type="dxa"/>
            <w:vAlign w:val="center"/>
            <w:hideMark/>
          </w:tcPr>
          <w:p w14:paraId="0460956B"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708" w:type="dxa"/>
            <w:vAlign w:val="center"/>
            <w:hideMark/>
          </w:tcPr>
          <w:p w14:paraId="0850E60B"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709" w:type="dxa"/>
            <w:vAlign w:val="center"/>
            <w:hideMark/>
          </w:tcPr>
          <w:p w14:paraId="2295F8FF"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709" w:type="dxa"/>
            <w:vAlign w:val="center"/>
            <w:hideMark/>
          </w:tcPr>
          <w:p w14:paraId="6E7E2461"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709" w:type="dxa"/>
            <w:vAlign w:val="center"/>
            <w:hideMark/>
          </w:tcPr>
          <w:p w14:paraId="78469D1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r>
      <w:tr w:rsidR="000B76F4" w:rsidRPr="000B76F4" w14:paraId="10ADB36B" w14:textId="77777777" w:rsidTr="000B76F4">
        <w:trPr>
          <w:trHeight w:val="183"/>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6C7745F5"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4. Vietējā valdība</w:t>
            </w:r>
          </w:p>
        </w:tc>
        <w:tc>
          <w:tcPr>
            <w:tcW w:w="1134" w:type="dxa"/>
            <w:hideMark/>
          </w:tcPr>
          <w:p w14:paraId="36C3B972"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S.1313 </w:t>
            </w:r>
          </w:p>
        </w:tc>
        <w:tc>
          <w:tcPr>
            <w:tcW w:w="1134" w:type="dxa"/>
            <w:vAlign w:val="center"/>
            <w:hideMark/>
          </w:tcPr>
          <w:p w14:paraId="0DAE248E"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-30,0</w:t>
            </w:r>
          </w:p>
        </w:tc>
        <w:tc>
          <w:tcPr>
            <w:tcW w:w="861" w:type="dxa"/>
            <w:vAlign w:val="center"/>
            <w:hideMark/>
          </w:tcPr>
          <w:p w14:paraId="6CBD22C4"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-0,1</w:t>
            </w:r>
          </w:p>
        </w:tc>
        <w:tc>
          <w:tcPr>
            <w:tcW w:w="708" w:type="dxa"/>
            <w:vAlign w:val="center"/>
            <w:hideMark/>
          </w:tcPr>
          <w:p w14:paraId="2EEBA879"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0,1</w:t>
            </w:r>
          </w:p>
        </w:tc>
        <w:tc>
          <w:tcPr>
            <w:tcW w:w="709" w:type="dxa"/>
            <w:vAlign w:val="center"/>
            <w:hideMark/>
          </w:tcPr>
          <w:p w14:paraId="21AAF9C2"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0,0</w:t>
            </w:r>
          </w:p>
        </w:tc>
        <w:tc>
          <w:tcPr>
            <w:tcW w:w="709" w:type="dxa"/>
            <w:vAlign w:val="center"/>
            <w:hideMark/>
          </w:tcPr>
          <w:p w14:paraId="373C4C1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0,1</w:t>
            </w:r>
          </w:p>
        </w:tc>
        <w:tc>
          <w:tcPr>
            <w:tcW w:w="709" w:type="dxa"/>
            <w:vAlign w:val="center"/>
            <w:hideMark/>
          </w:tcPr>
          <w:p w14:paraId="1F40B6B3"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0,1</w:t>
            </w:r>
          </w:p>
        </w:tc>
      </w:tr>
      <w:tr w:rsidR="000B76F4" w:rsidRPr="000B76F4" w14:paraId="77BB3245" w14:textId="77777777" w:rsidTr="000B76F4">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72C8C0CC"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5. Sociālās nodrošināšanas fondi</w:t>
            </w:r>
          </w:p>
        </w:tc>
        <w:tc>
          <w:tcPr>
            <w:tcW w:w="1134" w:type="dxa"/>
            <w:hideMark/>
          </w:tcPr>
          <w:p w14:paraId="1A994367"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S.1314 </w:t>
            </w:r>
          </w:p>
        </w:tc>
        <w:tc>
          <w:tcPr>
            <w:tcW w:w="1134" w:type="dxa"/>
            <w:vAlign w:val="center"/>
            <w:hideMark/>
          </w:tcPr>
          <w:p w14:paraId="04BB9279"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100,3</w:t>
            </w:r>
          </w:p>
        </w:tc>
        <w:tc>
          <w:tcPr>
            <w:tcW w:w="861" w:type="dxa"/>
            <w:vAlign w:val="center"/>
            <w:hideMark/>
          </w:tcPr>
          <w:p w14:paraId="2AEEED72"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c>
          <w:tcPr>
            <w:tcW w:w="708" w:type="dxa"/>
            <w:vAlign w:val="center"/>
            <w:hideMark/>
          </w:tcPr>
          <w:p w14:paraId="2B17FED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c>
          <w:tcPr>
            <w:tcW w:w="709" w:type="dxa"/>
            <w:vAlign w:val="center"/>
            <w:hideMark/>
          </w:tcPr>
          <w:p w14:paraId="52974794"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c>
          <w:tcPr>
            <w:tcW w:w="709" w:type="dxa"/>
            <w:vAlign w:val="center"/>
            <w:hideMark/>
          </w:tcPr>
          <w:p w14:paraId="10A1E6B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0,6</w:t>
            </w:r>
          </w:p>
        </w:tc>
        <w:tc>
          <w:tcPr>
            <w:tcW w:w="709" w:type="dxa"/>
            <w:vAlign w:val="center"/>
            <w:hideMark/>
          </w:tcPr>
          <w:p w14:paraId="2E1BB353"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0,8</w:t>
            </w:r>
          </w:p>
        </w:tc>
      </w:tr>
      <w:tr w:rsidR="000B76F4" w:rsidRPr="000B76F4" w14:paraId="696F1321" w14:textId="77777777" w:rsidTr="000B76F4">
        <w:trPr>
          <w:trHeight w:val="203"/>
          <w:jc w:val="center"/>
        </w:trPr>
        <w:tc>
          <w:tcPr>
            <w:cnfStyle w:val="001000000000" w:firstRow="0" w:lastRow="0" w:firstColumn="1" w:lastColumn="0" w:oddVBand="0" w:evenVBand="0" w:oddHBand="0" w:evenHBand="0" w:firstRowFirstColumn="0" w:firstRowLastColumn="0" w:lastRowFirstColumn="0" w:lastRowLastColumn="0"/>
            <w:tcW w:w="9645" w:type="dxa"/>
            <w:gridSpan w:val="8"/>
            <w:hideMark/>
          </w:tcPr>
          <w:p w14:paraId="638466F8" w14:textId="77777777" w:rsidR="000B76F4" w:rsidRPr="000B76F4" w:rsidRDefault="000B76F4" w:rsidP="005812B4">
            <w:pPr>
              <w:jc w:val="center"/>
              <w:rPr>
                <w:rFonts w:ascii="Times New Roman" w:eastAsia="Times New Roman" w:hAnsi="Times New Roman" w:cs="Times New Roman"/>
                <w:b w:val="0"/>
                <w:bCs w:val="0"/>
                <w:color w:val="auto"/>
                <w:sz w:val="20"/>
                <w:szCs w:val="20"/>
                <w:lang w:eastAsia="lv-LV"/>
              </w:rPr>
            </w:pPr>
            <w:r w:rsidRPr="000B76F4">
              <w:rPr>
                <w:rFonts w:ascii="Times New Roman" w:eastAsia="Times New Roman" w:hAnsi="Times New Roman" w:cs="Times New Roman"/>
                <w:color w:val="auto"/>
                <w:sz w:val="20"/>
                <w:szCs w:val="20"/>
                <w:lang w:eastAsia="lv-LV"/>
              </w:rPr>
              <w:t>Vispārējā valdība (S.13)</w:t>
            </w:r>
          </w:p>
        </w:tc>
      </w:tr>
      <w:tr w:rsidR="000B76F4" w:rsidRPr="000B76F4" w14:paraId="3E20D047" w14:textId="77777777" w:rsidTr="000B76F4">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653DCD6D"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6. Kopējie ieņēmumi</w:t>
            </w:r>
          </w:p>
        </w:tc>
        <w:tc>
          <w:tcPr>
            <w:tcW w:w="1134" w:type="dxa"/>
            <w:hideMark/>
          </w:tcPr>
          <w:p w14:paraId="0EFEB2C8"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TR</w:t>
            </w:r>
          </w:p>
        </w:tc>
        <w:tc>
          <w:tcPr>
            <w:tcW w:w="1134" w:type="dxa"/>
            <w:vAlign w:val="center"/>
            <w:hideMark/>
          </w:tcPr>
          <w:p w14:paraId="5C1D5083"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8414,3</w:t>
            </w:r>
          </w:p>
        </w:tc>
        <w:tc>
          <w:tcPr>
            <w:tcW w:w="861" w:type="dxa"/>
            <w:vAlign w:val="center"/>
            <w:hideMark/>
          </w:tcPr>
          <w:p w14:paraId="6BA691B8"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35,0</w:t>
            </w:r>
          </w:p>
        </w:tc>
        <w:tc>
          <w:tcPr>
            <w:tcW w:w="708" w:type="dxa"/>
            <w:vAlign w:val="center"/>
            <w:hideMark/>
          </w:tcPr>
          <w:p w14:paraId="703141C4"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34,2</w:t>
            </w:r>
          </w:p>
        </w:tc>
        <w:tc>
          <w:tcPr>
            <w:tcW w:w="709" w:type="dxa"/>
            <w:vAlign w:val="center"/>
            <w:hideMark/>
          </w:tcPr>
          <w:p w14:paraId="2CB4FB35"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32,7</w:t>
            </w:r>
          </w:p>
        </w:tc>
        <w:tc>
          <w:tcPr>
            <w:tcW w:w="709" w:type="dxa"/>
            <w:vAlign w:val="center"/>
            <w:hideMark/>
          </w:tcPr>
          <w:p w14:paraId="3615F599"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32,7</w:t>
            </w:r>
          </w:p>
        </w:tc>
        <w:tc>
          <w:tcPr>
            <w:tcW w:w="709" w:type="dxa"/>
            <w:vAlign w:val="center"/>
            <w:hideMark/>
          </w:tcPr>
          <w:p w14:paraId="037BC427"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32,3</w:t>
            </w:r>
          </w:p>
        </w:tc>
      </w:tr>
      <w:tr w:rsidR="000B76F4" w:rsidRPr="000B76F4" w14:paraId="435831C9" w14:textId="77777777" w:rsidTr="000B76F4">
        <w:trPr>
          <w:trHeight w:val="128"/>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BE311E8"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7. Kopējie izdevumi</w:t>
            </w:r>
          </w:p>
        </w:tc>
        <w:tc>
          <w:tcPr>
            <w:tcW w:w="1134" w:type="dxa"/>
            <w:hideMark/>
          </w:tcPr>
          <w:p w14:paraId="2132AA27"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TE</w:t>
            </w:r>
          </w:p>
        </w:tc>
        <w:tc>
          <w:tcPr>
            <w:tcW w:w="1134" w:type="dxa"/>
            <w:vAlign w:val="center"/>
            <w:hideMark/>
          </w:tcPr>
          <w:p w14:paraId="2FB66ED7"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8754,0</w:t>
            </w:r>
          </w:p>
        </w:tc>
        <w:tc>
          <w:tcPr>
            <w:tcW w:w="861" w:type="dxa"/>
            <w:vAlign w:val="center"/>
            <w:hideMark/>
          </w:tcPr>
          <w:p w14:paraId="04C6EB53"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36,4</w:t>
            </w:r>
          </w:p>
        </w:tc>
        <w:tc>
          <w:tcPr>
            <w:tcW w:w="708" w:type="dxa"/>
            <w:vAlign w:val="center"/>
            <w:hideMark/>
          </w:tcPr>
          <w:p w14:paraId="5E3E91F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35,6</w:t>
            </w:r>
          </w:p>
        </w:tc>
        <w:tc>
          <w:tcPr>
            <w:tcW w:w="709" w:type="dxa"/>
            <w:vAlign w:val="center"/>
            <w:hideMark/>
          </w:tcPr>
          <w:p w14:paraId="217371A7"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34,3</w:t>
            </w:r>
          </w:p>
        </w:tc>
        <w:tc>
          <w:tcPr>
            <w:tcW w:w="709" w:type="dxa"/>
            <w:vAlign w:val="center"/>
            <w:hideMark/>
          </w:tcPr>
          <w:p w14:paraId="64DBC5DE"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34,0</w:t>
            </w:r>
          </w:p>
        </w:tc>
        <w:tc>
          <w:tcPr>
            <w:tcW w:w="709" w:type="dxa"/>
            <w:vAlign w:val="center"/>
            <w:hideMark/>
          </w:tcPr>
          <w:p w14:paraId="5E42CA4F"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34,0</w:t>
            </w:r>
          </w:p>
        </w:tc>
      </w:tr>
      <w:tr w:rsidR="000B76F4" w:rsidRPr="000B76F4" w14:paraId="0E243817" w14:textId="77777777" w:rsidTr="000B76F4">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297AB3E1"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8. Budžeta bilance</w:t>
            </w:r>
          </w:p>
        </w:tc>
        <w:tc>
          <w:tcPr>
            <w:tcW w:w="1134" w:type="dxa"/>
            <w:hideMark/>
          </w:tcPr>
          <w:p w14:paraId="635379A1"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B.9</w:t>
            </w:r>
          </w:p>
        </w:tc>
        <w:tc>
          <w:tcPr>
            <w:tcW w:w="1134" w:type="dxa"/>
            <w:vAlign w:val="center"/>
            <w:hideMark/>
          </w:tcPr>
          <w:p w14:paraId="146E0CDA"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-339,8</w:t>
            </w:r>
          </w:p>
        </w:tc>
        <w:tc>
          <w:tcPr>
            <w:tcW w:w="861" w:type="dxa"/>
            <w:vAlign w:val="center"/>
            <w:hideMark/>
          </w:tcPr>
          <w:p w14:paraId="5CEFC83B"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-1,4</w:t>
            </w:r>
          </w:p>
        </w:tc>
        <w:tc>
          <w:tcPr>
            <w:tcW w:w="708" w:type="dxa"/>
            <w:vAlign w:val="center"/>
            <w:hideMark/>
          </w:tcPr>
          <w:p w14:paraId="75E172BF"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-1,5</w:t>
            </w:r>
          </w:p>
        </w:tc>
        <w:tc>
          <w:tcPr>
            <w:tcW w:w="709" w:type="dxa"/>
            <w:vAlign w:val="center"/>
            <w:hideMark/>
          </w:tcPr>
          <w:p w14:paraId="64FBF821"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-1,6</w:t>
            </w:r>
          </w:p>
        </w:tc>
        <w:tc>
          <w:tcPr>
            <w:tcW w:w="709" w:type="dxa"/>
            <w:vAlign w:val="center"/>
            <w:hideMark/>
          </w:tcPr>
          <w:p w14:paraId="316AF5D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-1,3</w:t>
            </w:r>
          </w:p>
        </w:tc>
        <w:tc>
          <w:tcPr>
            <w:tcW w:w="709" w:type="dxa"/>
            <w:vAlign w:val="center"/>
            <w:hideMark/>
          </w:tcPr>
          <w:p w14:paraId="6F64EEA6"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-1,7</w:t>
            </w:r>
          </w:p>
        </w:tc>
      </w:tr>
      <w:tr w:rsidR="000B76F4" w:rsidRPr="000B76F4" w14:paraId="367CA1D7" w14:textId="77777777" w:rsidTr="000B76F4">
        <w:trPr>
          <w:trHeight w:val="205"/>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1E887F7B"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9. Procentu izdevumi</w:t>
            </w:r>
          </w:p>
        </w:tc>
        <w:tc>
          <w:tcPr>
            <w:tcW w:w="1134" w:type="dxa"/>
            <w:hideMark/>
          </w:tcPr>
          <w:p w14:paraId="758F6334"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D.41 </w:t>
            </w:r>
          </w:p>
        </w:tc>
        <w:tc>
          <w:tcPr>
            <w:tcW w:w="1134" w:type="dxa"/>
            <w:vAlign w:val="center"/>
            <w:hideMark/>
          </w:tcPr>
          <w:p w14:paraId="18DDB3B6"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343,3</w:t>
            </w:r>
          </w:p>
        </w:tc>
        <w:tc>
          <w:tcPr>
            <w:tcW w:w="861" w:type="dxa"/>
            <w:vAlign w:val="center"/>
            <w:hideMark/>
          </w:tcPr>
          <w:p w14:paraId="0C43FD4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1,4</w:t>
            </w:r>
          </w:p>
        </w:tc>
        <w:tc>
          <w:tcPr>
            <w:tcW w:w="708" w:type="dxa"/>
            <w:vAlign w:val="center"/>
            <w:hideMark/>
          </w:tcPr>
          <w:p w14:paraId="27591E95"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1,2</w:t>
            </w:r>
          </w:p>
        </w:tc>
        <w:tc>
          <w:tcPr>
            <w:tcW w:w="709" w:type="dxa"/>
            <w:vAlign w:val="center"/>
            <w:hideMark/>
          </w:tcPr>
          <w:p w14:paraId="20F70908"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1,2</w:t>
            </w:r>
          </w:p>
        </w:tc>
        <w:tc>
          <w:tcPr>
            <w:tcW w:w="709" w:type="dxa"/>
            <w:vAlign w:val="center"/>
            <w:hideMark/>
          </w:tcPr>
          <w:p w14:paraId="402235A6"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1,1</w:t>
            </w:r>
          </w:p>
        </w:tc>
        <w:tc>
          <w:tcPr>
            <w:tcW w:w="709" w:type="dxa"/>
            <w:vAlign w:val="center"/>
            <w:hideMark/>
          </w:tcPr>
          <w:p w14:paraId="7B70EE8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w:t>
            </w:r>
          </w:p>
        </w:tc>
      </w:tr>
      <w:tr w:rsidR="000B76F4" w:rsidRPr="000B76F4" w14:paraId="445DCE94" w14:textId="77777777" w:rsidTr="000B76F4">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66599071"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10. Primārā bilance</w:t>
            </w:r>
          </w:p>
        </w:tc>
        <w:tc>
          <w:tcPr>
            <w:tcW w:w="1134" w:type="dxa"/>
            <w:hideMark/>
          </w:tcPr>
          <w:p w14:paraId="15072901"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 </w:t>
            </w:r>
          </w:p>
        </w:tc>
        <w:tc>
          <w:tcPr>
            <w:tcW w:w="1134" w:type="dxa"/>
            <w:vAlign w:val="center"/>
            <w:hideMark/>
          </w:tcPr>
          <w:p w14:paraId="4EBCB8B2"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3,5</w:t>
            </w:r>
          </w:p>
        </w:tc>
        <w:tc>
          <w:tcPr>
            <w:tcW w:w="861" w:type="dxa"/>
            <w:vAlign w:val="center"/>
            <w:hideMark/>
          </w:tcPr>
          <w:p w14:paraId="39065A62"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0,0</w:t>
            </w:r>
          </w:p>
        </w:tc>
        <w:tc>
          <w:tcPr>
            <w:tcW w:w="708" w:type="dxa"/>
            <w:vAlign w:val="center"/>
            <w:hideMark/>
          </w:tcPr>
          <w:p w14:paraId="43C633A6"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-0,2</w:t>
            </w:r>
          </w:p>
        </w:tc>
        <w:tc>
          <w:tcPr>
            <w:tcW w:w="709" w:type="dxa"/>
            <w:vAlign w:val="center"/>
            <w:hideMark/>
          </w:tcPr>
          <w:p w14:paraId="25B83D2D"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c>
          <w:tcPr>
            <w:tcW w:w="709" w:type="dxa"/>
            <w:vAlign w:val="center"/>
            <w:hideMark/>
          </w:tcPr>
          <w:p w14:paraId="280FA0F8"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-0,2</w:t>
            </w:r>
          </w:p>
        </w:tc>
        <w:tc>
          <w:tcPr>
            <w:tcW w:w="709" w:type="dxa"/>
            <w:vAlign w:val="center"/>
            <w:hideMark/>
          </w:tcPr>
          <w:p w14:paraId="7A9F17B7"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-0,7</w:t>
            </w:r>
          </w:p>
        </w:tc>
      </w:tr>
      <w:tr w:rsidR="000B76F4" w:rsidRPr="000B76F4" w14:paraId="08981EAA" w14:textId="77777777" w:rsidTr="000B76F4">
        <w:trPr>
          <w:trHeight w:val="14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DCACA6C"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11. Vienreizēji un citi īslaicīgi pasākumi</w:t>
            </w:r>
          </w:p>
        </w:tc>
        <w:tc>
          <w:tcPr>
            <w:tcW w:w="1134" w:type="dxa"/>
            <w:hideMark/>
          </w:tcPr>
          <w:p w14:paraId="47C47616"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 </w:t>
            </w:r>
          </w:p>
        </w:tc>
        <w:tc>
          <w:tcPr>
            <w:tcW w:w="1134" w:type="dxa"/>
            <w:vAlign w:val="center"/>
            <w:hideMark/>
          </w:tcPr>
          <w:p w14:paraId="56F31690"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-89,5</w:t>
            </w:r>
          </w:p>
        </w:tc>
        <w:tc>
          <w:tcPr>
            <w:tcW w:w="861" w:type="dxa"/>
            <w:vAlign w:val="center"/>
            <w:hideMark/>
          </w:tcPr>
          <w:p w14:paraId="46B573B8"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c>
          <w:tcPr>
            <w:tcW w:w="708" w:type="dxa"/>
            <w:vAlign w:val="center"/>
            <w:hideMark/>
          </w:tcPr>
          <w:p w14:paraId="3A2538C7"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709" w:type="dxa"/>
            <w:vAlign w:val="center"/>
            <w:hideMark/>
          </w:tcPr>
          <w:p w14:paraId="41000974"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-0,3</w:t>
            </w:r>
          </w:p>
        </w:tc>
        <w:tc>
          <w:tcPr>
            <w:tcW w:w="709" w:type="dxa"/>
            <w:vAlign w:val="center"/>
            <w:hideMark/>
          </w:tcPr>
          <w:p w14:paraId="397774D8"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c>
          <w:tcPr>
            <w:tcW w:w="709" w:type="dxa"/>
            <w:vAlign w:val="center"/>
            <w:hideMark/>
          </w:tcPr>
          <w:p w14:paraId="36CA43CF"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-0,5</w:t>
            </w:r>
          </w:p>
        </w:tc>
      </w:tr>
      <w:tr w:rsidR="000B76F4" w:rsidRPr="000B76F4" w14:paraId="12E14ED7" w14:textId="77777777" w:rsidTr="000B76F4">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9645" w:type="dxa"/>
            <w:gridSpan w:val="8"/>
            <w:hideMark/>
          </w:tcPr>
          <w:p w14:paraId="4EDD17A7" w14:textId="77777777" w:rsidR="000B76F4" w:rsidRPr="000B76F4" w:rsidRDefault="000B76F4" w:rsidP="005812B4">
            <w:pPr>
              <w:jc w:val="center"/>
              <w:rPr>
                <w:rFonts w:ascii="Times New Roman" w:eastAsia="Times New Roman" w:hAnsi="Times New Roman" w:cs="Times New Roman"/>
                <w:b w:val="0"/>
                <w:bCs w:val="0"/>
                <w:color w:val="auto"/>
                <w:sz w:val="20"/>
                <w:szCs w:val="20"/>
                <w:lang w:eastAsia="lv-LV"/>
              </w:rPr>
            </w:pPr>
            <w:r w:rsidRPr="000B76F4">
              <w:rPr>
                <w:rFonts w:ascii="Times New Roman" w:eastAsia="Times New Roman" w:hAnsi="Times New Roman" w:cs="Times New Roman"/>
                <w:color w:val="auto"/>
                <w:sz w:val="20"/>
                <w:szCs w:val="20"/>
                <w:lang w:eastAsia="lv-LV"/>
              </w:rPr>
              <w:t>Ieņēmumu sadaļas</w:t>
            </w:r>
          </w:p>
        </w:tc>
      </w:tr>
      <w:tr w:rsidR="000B76F4" w:rsidRPr="000B76F4" w14:paraId="6707A5CE" w14:textId="77777777" w:rsidTr="000B76F4">
        <w:trPr>
          <w:trHeight w:val="149"/>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689A5A88"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12. Nodokļi kopā (12=12a+12b+12c)</w:t>
            </w:r>
          </w:p>
        </w:tc>
        <w:tc>
          <w:tcPr>
            <w:tcW w:w="1134" w:type="dxa"/>
            <w:hideMark/>
          </w:tcPr>
          <w:p w14:paraId="048FF7BD"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1134" w:type="dxa"/>
            <w:vAlign w:val="center"/>
            <w:hideMark/>
          </w:tcPr>
          <w:p w14:paraId="221FC975"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4722,2</w:t>
            </w:r>
          </w:p>
        </w:tc>
        <w:tc>
          <w:tcPr>
            <w:tcW w:w="861" w:type="dxa"/>
            <w:vAlign w:val="center"/>
            <w:hideMark/>
          </w:tcPr>
          <w:p w14:paraId="38803F08"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19,6</w:t>
            </w:r>
          </w:p>
        </w:tc>
        <w:tc>
          <w:tcPr>
            <w:tcW w:w="708" w:type="dxa"/>
            <w:vAlign w:val="center"/>
            <w:hideMark/>
          </w:tcPr>
          <w:p w14:paraId="2AFEF238"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22,0</w:t>
            </w:r>
          </w:p>
        </w:tc>
        <w:tc>
          <w:tcPr>
            <w:tcW w:w="709" w:type="dxa"/>
            <w:vAlign w:val="center"/>
            <w:hideMark/>
          </w:tcPr>
          <w:p w14:paraId="119F1FCB"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21,6</w:t>
            </w:r>
          </w:p>
        </w:tc>
        <w:tc>
          <w:tcPr>
            <w:tcW w:w="709" w:type="dxa"/>
            <w:vAlign w:val="center"/>
            <w:hideMark/>
          </w:tcPr>
          <w:p w14:paraId="2093733C"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21,6</w:t>
            </w:r>
          </w:p>
        </w:tc>
        <w:tc>
          <w:tcPr>
            <w:tcW w:w="709" w:type="dxa"/>
            <w:vAlign w:val="center"/>
            <w:hideMark/>
          </w:tcPr>
          <w:p w14:paraId="53B87905"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21,3</w:t>
            </w:r>
          </w:p>
        </w:tc>
      </w:tr>
      <w:tr w:rsidR="000B76F4" w:rsidRPr="000B76F4" w14:paraId="490B6B8E" w14:textId="77777777" w:rsidTr="000B76F4">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2B70CCBE"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12a. Ražošanas un importa nodokļi</w:t>
            </w:r>
          </w:p>
        </w:tc>
        <w:tc>
          <w:tcPr>
            <w:tcW w:w="1134" w:type="dxa"/>
            <w:hideMark/>
          </w:tcPr>
          <w:p w14:paraId="216B66FF"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D.2</w:t>
            </w:r>
          </w:p>
        </w:tc>
        <w:tc>
          <w:tcPr>
            <w:tcW w:w="1134" w:type="dxa"/>
            <w:vAlign w:val="center"/>
            <w:hideMark/>
          </w:tcPr>
          <w:p w14:paraId="305B138A"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2888,6</w:t>
            </w:r>
          </w:p>
        </w:tc>
        <w:tc>
          <w:tcPr>
            <w:tcW w:w="861" w:type="dxa"/>
            <w:vAlign w:val="center"/>
            <w:hideMark/>
          </w:tcPr>
          <w:p w14:paraId="310952E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12,0</w:t>
            </w:r>
          </w:p>
        </w:tc>
        <w:tc>
          <w:tcPr>
            <w:tcW w:w="708" w:type="dxa"/>
            <w:vAlign w:val="center"/>
            <w:hideMark/>
          </w:tcPr>
          <w:p w14:paraId="4DBD28A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14,5</w:t>
            </w:r>
          </w:p>
        </w:tc>
        <w:tc>
          <w:tcPr>
            <w:tcW w:w="709" w:type="dxa"/>
            <w:vAlign w:val="center"/>
            <w:hideMark/>
          </w:tcPr>
          <w:p w14:paraId="6CCC666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14,3</w:t>
            </w:r>
          </w:p>
        </w:tc>
        <w:tc>
          <w:tcPr>
            <w:tcW w:w="709" w:type="dxa"/>
            <w:vAlign w:val="center"/>
            <w:hideMark/>
          </w:tcPr>
          <w:p w14:paraId="7880726C"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14,2</w:t>
            </w:r>
          </w:p>
        </w:tc>
        <w:tc>
          <w:tcPr>
            <w:tcW w:w="709" w:type="dxa"/>
            <w:vAlign w:val="center"/>
            <w:hideMark/>
          </w:tcPr>
          <w:p w14:paraId="72B29BAF"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13,8</w:t>
            </w:r>
          </w:p>
        </w:tc>
      </w:tr>
      <w:tr w:rsidR="000B76F4" w:rsidRPr="000B76F4" w14:paraId="7192FA6E" w14:textId="77777777" w:rsidTr="000B76F4">
        <w:trPr>
          <w:trHeight w:val="24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629FE7A"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12b. Ienākuma un mantas kārtējie nodokļi</w:t>
            </w:r>
          </w:p>
        </w:tc>
        <w:tc>
          <w:tcPr>
            <w:tcW w:w="1134" w:type="dxa"/>
            <w:hideMark/>
          </w:tcPr>
          <w:p w14:paraId="24146AA2"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D.5</w:t>
            </w:r>
          </w:p>
        </w:tc>
        <w:tc>
          <w:tcPr>
            <w:tcW w:w="1134" w:type="dxa"/>
            <w:vAlign w:val="center"/>
            <w:hideMark/>
          </w:tcPr>
          <w:p w14:paraId="3E4B9A4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1831,0</w:t>
            </w:r>
          </w:p>
        </w:tc>
        <w:tc>
          <w:tcPr>
            <w:tcW w:w="861" w:type="dxa"/>
            <w:vAlign w:val="center"/>
            <w:hideMark/>
          </w:tcPr>
          <w:p w14:paraId="756B4074"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7,6</w:t>
            </w:r>
          </w:p>
        </w:tc>
        <w:tc>
          <w:tcPr>
            <w:tcW w:w="708" w:type="dxa"/>
            <w:vAlign w:val="center"/>
            <w:hideMark/>
          </w:tcPr>
          <w:p w14:paraId="2E94A318"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7,5</w:t>
            </w:r>
          </w:p>
        </w:tc>
        <w:tc>
          <w:tcPr>
            <w:tcW w:w="709" w:type="dxa"/>
            <w:vAlign w:val="center"/>
            <w:hideMark/>
          </w:tcPr>
          <w:p w14:paraId="17419A6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7,3</w:t>
            </w:r>
          </w:p>
        </w:tc>
        <w:tc>
          <w:tcPr>
            <w:tcW w:w="709" w:type="dxa"/>
            <w:vAlign w:val="center"/>
            <w:hideMark/>
          </w:tcPr>
          <w:p w14:paraId="4ACDFEBF"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7,4</w:t>
            </w:r>
          </w:p>
        </w:tc>
        <w:tc>
          <w:tcPr>
            <w:tcW w:w="709" w:type="dxa"/>
            <w:vAlign w:val="center"/>
            <w:hideMark/>
          </w:tcPr>
          <w:p w14:paraId="5BB2B33C"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7,4</w:t>
            </w:r>
          </w:p>
        </w:tc>
      </w:tr>
      <w:tr w:rsidR="000B76F4" w:rsidRPr="000B76F4" w14:paraId="7351F000" w14:textId="77777777" w:rsidTr="000B76F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2E9E54E8"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12c. Kapitāla nodokļi</w:t>
            </w:r>
          </w:p>
        </w:tc>
        <w:tc>
          <w:tcPr>
            <w:tcW w:w="1134" w:type="dxa"/>
            <w:hideMark/>
          </w:tcPr>
          <w:p w14:paraId="0B2C275E"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D.91</w:t>
            </w:r>
          </w:p>
        </w:tc>
        <w:tc>
          <w:tcPr>
            <w:tcW w:w="1134" w:type="dxa"/>
            <w:vAlign w:val="center"/>
            <w:hideMark/>
          </w:tcPr>
          <w:p w14:paraId="37EF07E2"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2,6</w:t>
            </w:r>
          </w:p>
        </w:tc>
        <w:tc>
          <w:tcPr>
            <w:tcW w:w="861" w:type="dxa"/>
            <w:vAlign w:val="center"/>
            <w:hideMark/>
          </w:tcPr>
          <w:p w14:paraId="680E2E8F"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0,0</w:t>
            </w:r>
          </w:p>
        </w:tc>
        <w:tc>
          <w:tcPr>
            <w:tcW w:w="708" w:type="dxa"/>
            <w:vAlign w:val="center"/>
            <w:hideMark/>
          </w:tcPr>
          <w:p w14:paraId="031D0C67"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0,0</w:t>
            </w:r>
          </w:p>
        </w:tc>
        <w:tc>
          <w:tcPr>
            <w:tcW w:w="709" w:type="dxa"/>
            <w:vAlign w:val="center"/>
            <w:hideMark/>
          </w:tcPr>
          <w:p w14:paraId="0C7186D7"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0,0</w:t>
            </w:r>
          </w:p>
        </w:tc>
        <w:tc>
          <w:tcPr>
            <w:tcW w:w="709" w:type="dxa"/>
            <w:vAlign w:val="center"/>
            <w:hideMark/>
          </w:tcPr>
          <w:p w14:paraId="7A4E9B27"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0,0</w:t>
            </w:r>
          </w:p>
        </w:tc>
        <w:tc>
          <w:tcPr>
            <w:tcW w:w="709" w:type="dxa"/>
            <w:vAlign w:val="center"/>
            <w:hideMark/>
          </w:tcPr>
          <w:p w14:paraId="34A32F14"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0,0</w:t>
            </w:r>
          </w:p>
        </w:tc>
      </w:tr>
      <w:tr w:rsidR="000B76F4" w:rsidRPr="000B76F4" w14:paraId="4D490E3D" w14:textId="77777777" w:rsidTr="000B76F4">
        <w:trPr>
          <w:trHeight w:val="135"/>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297112C2"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13. Sociālās iemaksas</w:t>
            </w:r>
          </w:p>
        </w:tc>
        <w:tc>
          <w:tcPr>
            <w:tcW w:w="1134" w:type="dxa"/>
            <w:hideMark/>
          </w:tcPr>
          <w:p w14:paraId="71E95F89"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D.61</w:t>
            </w:r>
          </w:p>
        </w:tc>
        <w:tc>
          <w:tcPr>
            <w:tcW w:w="1134" w:type="dxa"/>
            <w:vAlign w:val="center"/>
            <w:hideMark/>
          </w:tcPr>
          <w:p w14:paraId="2102FA6A"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2067,5</w:t>
            </w:r>
          </w:p>
        </w:tc>
        <w:tc>
          <w:tcPr>
            <w:tcW w:w="861" w:type="dxa"/>
            <w:vAlign w:val="center"/>
            <w:hideMark/>
          </w:tcPr>
          <w:p w14:paraId="0A4D80D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8,6</w:t>
            </w:r>
          </w:p>
        </w:tc>
        <w:tc>
          <w:tcPr>
            <w:tcW w:w="708" w:type="dxa"/>
            <w:vAlign w:val="center"/>
            <w:hideMark/>
          </w:tcPr>
          <w:p w14:paraId="5A555548"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8,4</w:t>
            </w:r>
          </w:p>
        </w:tc>
        <w:tc>
          <w:tcPr>
            <w:tcW w:w="709" w:type="dxa"/>
            <w:vAlign w:val="center"/>
            <w:hideMark/>
          </w:tcPr>
          <w:p w14:paraId="16B59170"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8,2</w:t>
            </w:r>
          </w:p>
        </w:tc>
        <w:tc>
          <w:tcPr>
            <w:tcW w:w="709" w:type="dxa"/>
            <w:vAlign w:val="center"/>
            <w:hideMark/>
          </w:tcPr>
          <w:p w14:paraId="4E9926D7"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8,2</w:t>
            </w:r>
          </w:p>
        </w:tc>
        <w:tc>
          <w:tcPr>
            <w:tcW w:w="709" w:type="dxa"/>
            <w:vAlign w:val="center"/>
            <w:hideMark/>
          </w:tcPr>
          <w:p w14:paraId="6473E5F0"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8,2</w:t>
            </w:r>
          </w:p>
        </w:tc>
      </w:tr>
      <w:tr w:rsidR="000B76F4" w:rsidRPr="000B76F4" w14:paraId="50BA5A53" w14:textId="77777777" w:rsidTr="000B76F4">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6B42323"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14. Īpašuma ienākumi</w:t>
            </w:r>
          </w:p>
        </w:tc>
        <w:tc>
          <w:tcPr>
            <w:tcW w:w="1134" w:type="dxa"/>
            <w:hideMark/>
          </w:tcPr>
          <w:p w14:paraId="47B4BB8C"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D.4</w:t>
            </w:r>
          </w:p>
        </w:tc>
        <w:tc>
          <w:tcPr>
            <w:tcW w:w="1134" w:type="dxa"/>
            <w:vAlign w:val="center"/>
            <w:hideMark/>
          </w:tcPr>
          <w:p w14:paraId="7B8BCEC9"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184,3</w:t>
            </w:r>
          </w:p>
        </w:tc>
        <w:tc>
          <w:tcPr>
            <w:tcW w:w="861" w:type="dxa"/>
            <w:vAlign w:val="center"/>
            <w:hideMark/>
          </w:tcPr>
          <w:p w14:paraId="3D88E88F"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0,8</w:t>
            </w:r>
          </w:p>
        </w:tc>
        <w:tc>
          <w:tcPr>
            <w:tcW w:w="708" w:type="dxa"/>
            <w:vAlign w:val="center"/>
            <w:hideMark/>
          </w:tcPr>
          <w:p w14:paraId="484E9362"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0,7</w:t>
            </w:r>
          </w:p>
        </w:tc>
        <w:tc>
          <w:tcPr>
            <w:tcW w:w="709" w:type="dxa"/>
            <w:vAlign w:val="center"/>
            <w:hideMark/>
          </w:tcPr>
          <w:p w14:paraId="097903DA"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0,5</w:t>
            </w:r>
          </w:p>
        </w:tc>
        <w:tc>
          <w:tcPr>
            <w:tcW w:w="709" w:type="dxa"/>
            <w:vAlign w:val="center"/>
            <w:hideMark/>
          </w:tcPr>
          <w:p w14:paraId="02956F3B"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0,3</w:t>
            </w:r>
          </w:p>
        </w:tc>
        <w:tc>
          <w:tcPr>
            <w:tcW w:w="709" w:type="dxa"/>
            <w:vAlign w:val="center"/>
            <w:hideMark/>
          </w:tcPr>
          <w:p w14:paraId="39D8E447"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0,2</w:t>
            </w:r>
          </w:p>
        </w:tc>
      </w:tr>
      <w:tr w:rsidR="000B76F4" w:rsidRPr="000B76F4" w14:paraId="7E069BDB" w14:textId="77777777" w:rsidTr="000B76F4">
        <w:trPr>
          <w:trHeight w:val="227"/>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18280D87"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15. Pārējie ieņēmumi</w:t>
            </w:r>
          </w:p>
        </w:tc>
        <w:tc>
          <w:tcPr>
            <w:tcW w:w="1134" w:type="dxa"/>
            <w:hideMark/>
          </w:tcPr>
          <w:p w14:paraId="539BB2AF"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1134" w:type="dxa"/>
            <w:vAlign w:val="center"/>
            <w:hideMark/>
          </w:tcPr>
          <w:p w14:paraId="1722B7B9"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1440,2</w:t>
            </w:r>
          </w:p>
        </w:tc>
        <w:tc>
          <w:tcPr>
            <w:tcW w:w="861" w:type="dxa"/>
            <w:vAlign w:val="center"/>
            <w:hideMark/>
          </w:tcPr>
          <w:p w14:paraId="29EEE703"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6,0</w:t>
            </w:r>
          </w:p>
        </w:tc>
        <w:tc>
          <w:tcPr>
            <w:tcW w:w="708" w:type="dxa"/>
            <w:vAlign w:val="center"/>
            <w:hideMark/>
          </w:tcPr>
          <w:p w14:paraId="4D211769"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3,1</w:t>
            </w:r>
          </w:p>
        </w:tc>
        <w:tc>
          <w:tcPr>
            <w:tcW w:w="709" w:type="dxa"/>
            <w:vAlign w:val="center"/>
            <w:hideMark/>
          </w:tcPr>
          <w:p w14:paraId="098BEF44"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2,4</w:t>
            </w:r>
          </w:p>
        </w:tc>
        <w:tc>
          <w:tcPr>
            <w:tcW w:w="709" w:type="dxa"/>
            <w:vAlign w:val="center"/>
            <w:hideMark/>
          </w:tcPr>
          <w:p w14:paraId="5866A831"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2,7</w:t>
            </w:r>
          </w:p>
        </w:tc>
        <w:tc>
          <w:tcPr>
            <w:tcW w:w="709" w:type="dxa"/>
            <w:vAlign w:val="center"/>
            <w:hideMark/>
          </w:tcPr>
          <w:p w14:paraId="754F4B3F"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2,6</w:t>
            </w:r>
          </w:p>
        </w:tc>
      </w:tr>
      <w:tr w:rsidR="000B76F4" w:rsidRPr="000B76F4" w14:paraId="02C7E245" w14:textId="77777777" w:rsidTr="000B76F4">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E961705"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16. Kopējie ieņēmumi</w:t>
            </w:r>
          </w:p>
        </w:tc>
        <w:tc>
          <w:tcPr>
            <w:tcW w:w="1134" w:type="dxa"/>
            <w:hideMark/>
          </w:tcPr>
          <w:p w14:paraId="3EFDFB66"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TR</w:t>
            </w:r>
          </w:p>
        </w:tc>
        <w:tc>
          <w:tcPr>
            <w:tcW w:w="1134" w:type="dxa"/>
            <w:vAlign w:val="center"/>
            <w:hideMark/>
          </w:tcPr>
          <w:p w14:paraId="30A25711"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8414,3</w:t>
            </w:r>
          </w:p>
        </w:tc>
        <w:tc>
          <w:tcPr>
            <w:tcW w:w="861" w:type="dxa"/>
            <w:vAlign w:val="center"/>
            <w:hideMark/>
          </w:tcPr>
          <w:p w14:paraId="5EF2E6F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35,0</w:t>
            </w:r>
          </w:p>
        </w:tc>
        <w:tc>
          <w:tcPr>
            <w:tcW w:w="708" w:type="dxa"/>
            <w:vAlign w:val="center"/>
            <w:hideMark/>
          </w:tcPr>
          <w:p w14:paraId="27927522"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34,2</w:t>
            </w:r>
          </w:p>
        </w:tc>
        <w:tc>
          <w:tcPr>
            <w:tcW w:w="709" w:type="dxa"/>
            <w:vAlign w:val="center"/>
            <w:hideMark/>
          </w:tcPr>
          <w:p w14:paraId="38A45B1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32,7</w:t>
            </w:r>
          </w:p>
        </w:tc>
        <w:tc>
          <w:tcPr>
            <w:tcW w:w="709" w:type="dxa"/>
            <w:vAlign w:val="center"/>
            <w:hideMark/>
          </w:tcPr>
          <w:p w14:paraId="14465A1E"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32,7</w:t>
            </w:r>
          </w:p>
        </w:tc>
        <w:tc>
          <w:tcPr>
            <w:tcW w:w="709" w:type="dxa"/>
            <w:vAlign w:val="center"/>
            <w:hideMark/>
          </w:tcPr>
          <w:p w14:paraId="69FBFA8D"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32,3</w:t>
            </w:r>
          </w:p>
        </w:tc>
      </w:tr>
      <w:tr w:rsidR="000B76F4" w:rsidRPr="000B76F4" w14:paraId="14FC6F73" w14:textId="77777777" w:rsidTr="000B76F4">
        <w:trPr>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9402BE3"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Nodokļu slogs (D.2**+D.5+D.61+D.91-D.995)</w:t>
            </w:r>
          </w:p>
        </w:tc>
        <w:tc>
          <w:tcPr>
            <w:tcW w:w="1134" w:type="dxa"/>
            <w:hideMark/>
          </w:tcPr>
          <w:p w14:paraId="3DE06D7F"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1134" w:type="dxa"/>
            <w:vAlign w:val="center"/>
            <w:hideMark/>
          </w:tcPr>
          <w:p w14:paraId="65D57D4C"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6861,7</w:t>
            </w:r>
          </w:p>
        </w:tc>
        <w:tc>
          <w:tcPr>
            <w:tcW w:w="861" w:type="dxa"/>
            <w:vAlign w:val="center"/>
            <w:hideMark/>
          </w:tcPr>
          <w:p w14:paraId="4A34B67C"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28,5</w:t>
            </w:r>
          </w:p>
        </w:tc>
        <w:tc>
          <w:tcPr>
            <w:tcW w:w="708" w:type="dxa"/>
            <w:vAlign w:val="center"/>
            <w:hideMark/>
          </w:tcPr>
          <w:p w14:paraId="63497FC6"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28,2</w:t>
            </w:r>
          </w:p>
        </w:tc>
        <w:tc>
          <w:tcPr>
            <w:tcW w:w="709" w:type="dxa"/>
            <w:vAlign w:val="center"/>
            <w:hideMark/>
          </w:tcPr>
          <w:p w14:paraId="15B7A8C6"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27,7</w:t>
            </w:r>
          </w:p>
        </w:tc>
        <w:tc>
          <w:tcPr>
            <w:tcW w:w="709" w:type="dxa"/>
            <w:vAlign w:val="center"/>
            <w:hideMark/>
          </w:tcPr>
          <w:p w14:paraId="41D25F3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27,8</w:t>
            </w:r>
          </w:p>
        </w:tc>
        <w:tc>
          <w:tcPr>
            <w:tcW w:w="709" w:type="dxa"/>
            <w:vAlign w:val="center"/>
            <w:hideMark/>
          </w:tcPr>
          <w:p w14:paraId="3E9C808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27,6</w:t>
            </w:r>
          </w:p>
        </w:tc>
      </w:tr>
      <w:tr w:rsidR="000B76F4" w:rsidRPr="000B76F4" w14:paraId="1339DF63" w14:textId="77777777" w:rsidTr="000B76F4">
        <w:trPr>
          <w:cnfStyle w:val="000000100000" w:firstRow="0" w:lastRow="0" w:firstColumn="0" w:lastColumn="0" w:oddVBand="0" w:evenVBand="0" w:oddHBand="1"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9645" w:type="dxa"/>
            <w:gridSpan w:val="8"/>
            <w:hideMark/>
          </w:tcPr>
          <w:p w14:paraId="334C5A88" w14:textId="77777777" w:rsidR="000B76F4" w:rsidRPr="000B76F4" w:rsidRDefault="000B76F4" w:rsidP="005812B4">
            <w:pPr>
              <w:jc w:val="center"/>
              <w:rPr>
                <w:rFonts w:ascii="Times New Roman" w:eastAsia="Times New Roman" w:hAnsi="Times New Roman" w:cs="Times New Roman"/>
                <w:b w:val="0"/>
                <w:bCs w:val="0"/>
                <w:color w:val="auto"/>
                <w:sz w:val="20"/>
                <w:szCs w:val="20"/>
                <w:lang w:eastAsia="lv-LV"/>
              </w:rPr>
            </w:pPr>
            <w:r w:rsidRPr="000B76F4">
              <w:rPr>
                <w:rFonts w:ascii="Times New Roman" w:eastAsia="Times New Roman" w:hAnsi="Times New Roman" w:cs="Times New Roman"/>
                <w:color w:val="auto"/>
                <w:sz w:val="20"/>
                <w:szCs w:val="20"/>
                <w:lang w:eastAsia="lv-LV"/>
              </w:rPr>
              <w:t>Izdevumu sadaļas</w:t>
            </w:r>
            <w:r w:rsidRPr="000B76F4">
              <w:rPr>
                <w:rStyle w:val="FootnoteReference"/>
                <w:rFonts w:ascii="Times New Roman" w:eastAsia="Times New Roman" w:hAnsi="Times New Roman" w:cs="Times New Roman"/>
                <w:color w:val="auto"/>
                <w:szCs w:val="20"/>
                <w:lang w:eastAsia="lv-LV"/>
              </w:rPr>
              <w:footnoteReference w:id="23"/>
            </w:r>
          </w:p>
        </w:tc>
      </w:tr>
      <w:tr w:rsidR="000B76F4" w:rsidRPr="000B76F4" w14:paraId="3462D07D" w14:textId="77777777" w:rsidTr="000B76F4">
        <w:trPr>
          <w:trHeight w:val="345"/>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2E3B937C"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17. Atlīdzība nodarbinātajiem un starppatēriņš</w:t>
            </w:r>
          </w:p>
        </w:tc>
        <w:tc>
          <w:tcPr>
            <w:tcW w:w="1134" w:type="dxa"/>
            <w:hideMark/>
          </w:tcPr>
          <w:p w14:paraId="3E95D091"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D.1+P.2</w:t>
            </w:r>
          </w:p>
        </w:tc>
        <w:tc>
          <w:tcPr>
            <w:tcW w:w="1134" w:type="dxa"/>
            <w:vAlign w:val="center"/>
            <w:hideMark/>
          </w:tcPr>
          <w:p w14:paraId="146F2052"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3674,1</w:t>
            </w:r>
          </w:p>
        </w:tc>
        <w:tc>
          <w:tcPr>
            <w:tcW w:w="861" w:type="dxa"/>
            <w:vAlign w:val="center"/>
            <w:hideMark/>
          </w:tcPr>
          <w:p w14:paraId="0637B4DF"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15,3</w:t>
            </w:r>
          </w:p>
        </w:tc>
        <w:tc>
          <w:tcPr>
            <w:tcW w:w="708" w:type="dxa"/>
            <w:vAlign w:val="center"/>
            <w:hideMark/>
          </w:tcPr>
          <w:p w14:paraId="222282A4"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15,9</w:t>
            </w:r>
          </w:p>
        </w:tc>
        <w:tc>
          <w:tcPr>
            <w:tcW w:w="709" w:type="dxa"/>
            <w:vAlign w:val="center"/>
            <w:hideMark/>
          </w:tcPr>
          <w:p w14:paraId="20FA86D3"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15,4</w:t>
            </w:r>
          </w:p>
        </w:tc>
        <w:tc>
          <w:tcPr>
            <w:tcW w:w="709" w:type="dxa"/>
            <w:vAlign w:val="center"/>
            <w:hideMark/>
          </w:tcPr>
          <w:p w14:paraId="46131DC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15,8</w:t>
            </w:r>
          </w:p>
        </w:tc>
        <w:tc>
          <w:tcPr>
            <w:tcW w:w="709" w:type="dxa"/>
            <w:vAlign w:val="center"/>
            <w:hideMark/>
          </w:tcPr>
          <w:p w14:paraId="666B1072"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16,1</w:t>
            </w:r>
          </w:p>
        </w:tc>
      </w:tr>
      <w:tr w:rsidR="000B76F4" w:rsidRPr="000B76F4" w14:paraId="2B2F6EA7" w14:textId="77777777" w:rsidTr="000B76F4">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DE5148A"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17a. Atlīdzība nodarbinātajiem</w:t>
            </w:r>
          </w:p>
        </w:tc>
        <w:tc>
          <w:tcPr>
            <w:tcW w:w="1134" w:type="dxa"/>
            <w:hideMark/>
          </w:tcPr>
          <w:p w14:paraId="6851D6C2"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D.1</w:t>
            </w:r>
          </w:p>
        </w:tc>
        <w:tc>
          <w:tcPr>
            <w:tcW w:w="1134" w:type="dxa"/>
            <w:vAlign w:val="center"/>
            <w:hideMark/>
          </w:tcPr>
          <w:p w14:paraId="26A8CE82"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2243,9</w:t>
            </w:r>
          </w:p>
        </w:tc>
        <w:tc>
          <w:tcPr>
            <w:tcW w:w="861" w:type="dxa"/>
            <w:vAlign w:val="center"/>
            <w:hideMark/>
          </w:tcPr>
          <w:p w14:paraId="350718A2"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9,3</w:t>
            </w:r>
          </w:p>
        </w:tc>
        <w:tc>
          <w:tcPr>
            <w:tcW w:w="708" w:type="dxa"/>
            <w:vAlign w:val="center"/>
            <w:hideMark/>
          </w:tcPr>
          <w:p w14:paraId="6C48DCA9"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9,4</w:t>
            </w:r>
          </w:p>
        </w:tc>
        <w:tc>
          <w:tcPr>
            <w:tcW w:w="709" w:type="dxa"/>
            <w:vAlign w:val="center"/>
            <w:hideMark/>
          </w:tcPr>
          <w:p w14:paraId="4246291E"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9,1</w:t>
            </w:r>
          </w:p>
        </w:tc>
        <w:tc>
          <w:tcPr>
            <w:tcW w:w="709" w:type="dxa"/>
            <w:vAlign w:val="center"/>
            <w:hideMark/>
          </w:tcPr>
          <w:p w14:paraId="18A44921"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9,2</w:t>
            </w:r>
          </w:p>
        </w:tc>
        <w:tc>
          <w:tcPr>
            <w:tcW w:w="709" w:type="dxa"/>
            <w:vAlign w:val="center"/>
            <w:hideMark/>
          </w:tcPr>
          <w:p w14:paraId="719639AC"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9,1</w:t>
            </w:r>
          </w:p>
        </w:tc>
      </w:tr>
      <w:tr w:rsidR="000B76F4" w:rsidRPr="000B76F4" w14:paraId="734624B0" w14:textId="77777777" w:rsidTr="000B76F4">
        <w:trPr>
          <w:trHeight w:val="185"/>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5B4B730"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17b. Starppatēriņš</w:t>
            </w:r>
          </w:p>
        </w:tc>
        <w:tc>
          <w:tcPr>
            <w:tcW w:w="1134" w:type="dxa"/>
            <w:hideMark/>
          </w:tcPr>
          <w:p w14:paraId="10E480F6"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P.2 </w:t>
            </w:r>
          </w:p>
        </w:tc>
        <w:tc>
          <w:tcPr>
            <w:tcW w:w="1134" w:type="dxa"/>
            <w:vAlign w:val="center"/>
            <w:hideMark/>
          </w:tcPr>
          <w:p w14:paraId="29340CA6"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1430,2</w:t>
            </w:r>
          </w:p>
        </w:tc>
        <w:tc>
          <w:tcPr>
            <w:tcW w:w="861" w:type="dxa"/>
            <w:vAlign w:val="center"/>
            <w:hideMark/>
          </w:tcPr>
          <w:p w14:paraId="4CD60762"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5,9</w:t>
            </w:r>
          </w:p>
        </w:tc>
        <w:tc>
          <w:tcPr>
            <w:tcW w:w="708" w:type="dxa"/>
            <w:vAlign w:val="center"/>
            <w:hideMark/>
          </w:tcPr>
          <w:p w14:paraId="49E61497"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6,5</w:t>
            </w:r>
          </w:p>
        </w:tc>
        <w:tc>
          <w:tcPr>
            <w:tcW w:w="709" w:type="dxa"/>
            <w:vAlign w:val="center"/>
            <w:hideMark/>
          </w:tcPr>
          <w:p w14:paraId="1AB0C477"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6,3</w:t>
            </w:r>
          </w:p>
        </w:tc>
        <w:tc>
          <w:tcPr>
            <w:tcW w:w="709" w:type="dxa"/>
            <w:vAlign w:val="center"/>
            <w:hideMark/>
          </w:tcPr>
          <w:p w14:paraId="0A6DDA62"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6,6</w:t>
            </w:r>
          </w:p>
        </w:tc>
        <w:tc>
          <w:tcPr>
            <w:tcW w:w="709" w:type="dxa"/>
            <w:vAlign w:val="center"/>
            <w:hideMark/>
          </w:tcPr>
          <w:p w14:paraId="335F8A37"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7,0</w:t>
            </w:r>
          </w:p>
        </w:tc>
      </w:tr>
      <w:tr w:rsidR="000B76F4" w:rsidRPr="000B76F4" w14:paraId="55F087F6" w14:textId="77777777" w:rsidTr="000B76F4">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64FA636E"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18. Sociālie maksājumi (18=18a+18b)</w:t>
            </w:r>
          </w:p>
        </w:tc>
        <w:tc>
          <w:tcPr>
            <w:tcW w:w="1134" w:type="dxa"/>
            <w:hideMark/>
          </w:tcPr>
          <w:p w14:paraId="74C55796"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1134" w:type="dxa"/>
            <w:vAlign w:val="center"/>
            <w:hideMark/>
          </w:tcPr>
          <w:p w14:paraId="51BE1385"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2508,6</w:t>
            </w:r>
          </w:p>
        </w:tc>
        <w:tc>
          <w:tcPr>
            <w:tcW w:w="861" w:type="dxa"/>
            <w:vAlign w:val="center"/>
            <w:hideMark/>
          </w:tcPr>
          <w:p w14:paraId="03FFC33D"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10,4</w:t>
            </w:r>
          </w:p>
        </w:tc>
        <w:tc>
          <w:tcPr>
            <w:tcW w:w="708" w:type="dxa"/>
            <w:vAlign w:val="center"/>
            <w:hideMark/>
          </w:tcPr>
          <w:p w14:paraId="05F1C08C"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10,6</w:t>
            </w:r>
          </w:p>
        </w:tc>
        <w:tc>
          <w:tcPr>
            <w:tcW w:w="709" w:type="dxa"/>
            <w:vAlign w:val="center"/>
            <w:hideMark/>
          </w:tcPr>
          <w:p w14:paraId="267475FB"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10,3</w:t>
            </w:r>
          </w:p>
        </w:tc>
        <w:tc>
          <w:tcPr>
            <w:tcW w:w="709" w:type="dxa"/>
            <w:vAlign w:val="center"/>
            <w:hideMark/>
          </w:tcPr>
          <w:p w14:paraId="5CDEDDB9"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10,3</w:t>
            </w:r>
          </w:p>
        </w:tc>
        <w:tc>
          <w:tcPr>
            <w:tcW w:w="709" w:type="dxa"/>
            <w:vAlign w:val="center"/>
            <w:hideMark/>
          </w:tcPr>
          <w:p w14:paraId="6CECDD3E"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10,2</w:t>
            </w:r>
          </w:p>
        </w:tc>
      </w:tr>
      <w:tr w:rsidR="000B76F4" w:rsidRPr="000B76F4" w14:paraId="3DB84B74" w14:textId="77777777" w:rsidTr="000B76F4">
        <w:trPr>
          <w:trHeight w:val="135"/>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79CCCB3" w14:textId="77777777" w:rsidR="000B76F4" w:rsidRPr="000B76F4" w:rsidRDefault="000B76F4" w:rsidP="005812B4">
            <w:pPr>
              <w:ind w:firstLineChars="200" w:firstLine="400"/>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tai skaitā bezdarbnieku pabalsti</w:t>
            </w:r>
          </w:p>
        </w:tc>
        <w:tc>
          <w:tcPr>
            <w:tcW w:w="1134" w:type="dxa"/>
            <w:hideMark/>
          </w:tcPr>
          <w:p w14:paraId="2565AAD2"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w:t>
            </w:r>
          </w:p>
        </w:tc>
        <w:tc>
          <w:tcPr>
            <w:tcW w:w="1134" w:type="dxa"/>
            <w:vAlign w:val="center"/>
            <w:hideMark/>
          </w:tcPr>
          <w:p w14:paraId="4857122E"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85,3</w:t>
            </w:r>
          </w:p>
        </w:tc>
        <w:tc>
          <w:tcPr>
            <w:tcW w:w="861" w:type="dxa"/>
            <w:vAlign w:val="center"/>
            <w:hideMark/>
          </w:tcPr>
          <w:p w14:paraId="4F614B06"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c>
          <w:tcPr>
            <w:tcW w:w="708" w:type="dxa"/>
            <w:vAlign w:val="center"/>
            <w:hideMark/>
          </w:tcPr>
          <w:p w14:paraId="6287F6A0"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c>
          <w:tcPr>
            <w:tcW w:w="709" w:type="dxa"/>
            <w:vAlign w:val="center"/>
            <w:hideMark/>
          </w:tcPr>
          <w:p w14:paraId="150D42FA"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c>
          <w:tcPr>
            <w:tcW w:w="709" w:type="dxa"/>
            <w:vAlign w:val="center"/>
            <w:hideMark/>
          </w:tcPr>
          <w:p w14:paraId="38CF250C"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c>
          <w:tcPr>
            <w:tcW w:w="709" w:type="dxa"/>
            <w:vAlign w:val="center"/>
            <w:hideMark/>
          </w:tcPr>
          <w:p w14:paraId="7DCD07FC"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r>
      <w:tr w:rsidR="000B76F4" w:rsidRPr="000B76F4" w14:paraId="29208BF5" w14:textId="77777777" w:rsidTr="000B76F4">
        <w:trPr>
          <w:cnfStyle w:val="000000100000" w:firstRow="0" w:lastRow="0" w:firstColumn="0" w:lastColumn="0" w:oddVBand="0" w:evenVBand="0" w:oddHBand="1"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6233732F"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18a. Sociālie pārvedumi piegādāti caur tirgus ražotājiem</w:t>
            </w:r>
          </w:p>
        </w:tc>
        <w:tc>
          <w:tcPr>
            <w:tcW w:w="1134" w:type="dxa"/>
            <w:hideMark/>
          </w:tcPr>
          <w:p w14:paraId="6AD6CE4E"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D.6311, D.63121, D.63131</w:t>
            </w:r>
          </w:p>
        </w:tc>
        <w:tc>
          <w:tcPr>
            <w:tcW w:w="1134" w:type="dxa"/>
            <w:vAlign w:val="center"/>
            <w:hideMark/>
          </w:tcPr>
          <w:p w14:paraId="4DB56652"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233,4</w:t>
            </w:r>
          </w:p>
        </w:tc>
        <w:tc>
          <w:tcPr>
            <w:tcW w:w="861" w:type="dxa"/>
            <w:vAlign w:val="center"/>
            <w:hideMark/>
          </w:tcPr>
          <w:p w14:paraId="4323257D"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w:t>
            </w:r>
          </w:p>
        </w:tc>
        <w:tc>
          <w:tcPr>
            <w:tcW w:w="708" w:type="dxa"/>
            <w:vAlign w:val="center"/>
            <w:hideMark/>
          </w:tcPr>
          <w:p w14:paraId="3662141D"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w:t>
            </w:r>
          </w:p>
        </w:tc>
        <w:tc>
          <w:tcPr>
            <w:tcW w:w="709" w:type="dxa"/>
            <w:vAlign w:val="center"/>
            <w:hideMark/>
          </w:tcPr>
          <w:p w14:paraId="6BAA5EFF"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w:t>
            </w:r>
          </w:p>
        </w:tc>
        <w:tc>
          <w:tcPr>
            <w:tcW w:w="709" w:type="dxa"/>
            <w:vAlign w:val="center"/>
            <w:hideMark/>
          </w:tcPr>
          <w:p w14:paraId="020B3AE7"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w:t>
            </w:r>
          </w:p>
        </w:tc>
        <w:tc>
          <w:tcPr>
            <w:tcW w:w="709" w:type="dxa"/>
            <w:vAlign w:val="center"/>
            <w:hideMark/>
          </w:tcPr>
          <w:p w14:paraId="03DF5084"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w:t>
            </w:r>
          </w:p>
        </w:tc>
      </w:tr>
      <w:tr w:rsidR="000B76F4" w:rsidRPr="000B76F4" w14:paraId="75DCB4D4" w14:textId="77777777" w:rsidTr="000B76F4">
        <w:trPr>
          <w:trHeight w:val="333"/>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60A602B8"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18b. Sociālie pārvedumi, kas nav sociālie pārvedumi natūrā</w:t>
            </w:r>
          </w:p>
        </w:tc>
        <w:tc>
          <w:tcPr>
            <w:tcW w:w="1134" w:type="dxa"/>
            <w:hideMark/>
          </w:tcPr>
          <w:p w14:paraId="5BC33DCC"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D.62</w:t>
            </w:r>
          </w:p>
        </w:tc>
        <w:tc>
          <w:tcPr>
            <w:tcW w:w="1134" w:type="dxa"/>
            <w:vAlign w:val="center"/>
            <w:hideMark/>
          </w:tcPr>
          <w:p w14:paraId="6C26A14F"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2275,3</w:t>
            </w:r>
          </w:p>
        </w:tc>
        <w:tc>
          <w:tcPr>
            <w:tcW w:w="861" w:type="dxa"/>
            <w:vAlign w:val="center"/>
            <w:hideMark/>
          </w:tcPr>
          <w:p w14:paraId="21074A9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9,5</w:t>
            </w:r>
          </w:p>
        </w:tc>
        <w:tc>
          <w:tcPr>
            <w:tcW w:w="708" w:type="dxa"/>
            <w:vAlign w:val="center"/>
            <w:hideMark/>
          </w:tcPr>
          <w:p w14:paraId="2FC626B4"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9,6</w:t>
            </w:r>
          </w:p>
        </w:tc>
        <w:tc>
          <w:tcPr>
            <w:tcW w:w="709" w:type="dxa"/>
            <w:vAlign w:val="center"/>
            <w:hideMark/>
          </w:tcPr>
          <w:p w14:paraId="5FC78DAC"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9,3</w:t>
            </w:r>
          </w:p>
        </w:tc>
        <w:tc>
          <w:tcPr>
            <w:tcW w:w="709" w:type="dxa"/>
            <w:vAlign w:val="center"/>
            <w:hideMark/>
          </w:tcPr>
          <w:p w14:paraId="0592E7D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9,3</w:t>
            </w:r>
          </w:p>
        </w:tc>
        <w:tc>
          <w:tcPr>
            <w:tcW w:w="709" w:type="dxa"/>
            <w:vAlign w:val="center"/>
            <w:hideMark/>
          </w:tcPr>
          <w:p w14:paraId="6FD5BDBB"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9,2</w:t>
            </w:r>
          </w:p>
        </w:tc>
      </w:tr>
      <w:tr w:rsidR="000B76F4" w:rsidRPr="000B76F4" w14:paraId="0013A629" w14:textId="77777777" w:rsidTr="000B76F4">
        <w:trPr>
          <w:cnfStyle w:val="000000100000" w:firstRow="0" w:lastRow="0" w:firstColumn="0" w:lastColumn="0" w:oddVBand="0" w:evenVBand="0" w:oddHBand="1"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2F1219A2"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19.=9. Procentu izdevumi</w:t>
            </w:r>
          </w:p>
        </w:tc>
        <w:tc>
          <w:tcPr>
            <w:tcW w:w="1134" w:type="dxa"/>
            <w:hideMark/>
          </w:tcPr>
          <w:p w14:paraId="646E35FD"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D.41  </w:t>
            </w:r>
          </w:p>
        </w:tc>
        <w:tc>
          <w:tcPr>
            <w:tcW w:w="1134" w:type="dxa"/>
            <w:vAlign w:val="center"/>
            <w:hideMark/>
          </w:tcPr>
          <w:p w14:paraId="731A1874"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343,3</w:t>
            </w:r>
          </w:p>
        </w:tc>
        <w:tc>
          <w:tcPr>
            <w:tcW w:w="861" w:type="dxa"/>
            <w:vAlign w:val="center"/>
            <w:hideMark/>
          </w:tcPr>
          <w:p w14:paraId="4B290969"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1,4</w:t>
            </w:r>
          </w:p>
        </w:tc>
        <w:tc>
          <w:tcPr>
            <w:tcW w:w="708" w:type="dxa"/>
            <w:vAlign w:val="center"/>
            <w:hideMark/>
          </w:tcPr>
          <w:p w14:paraId="005AD0F3"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1,2</w:t>
            </w:r>
          </w:p>
        </w:tc>
        <w:tc>
          <w:tcPr>
            <w:tcW w:w="709" w:type="dxa"/>
            <w:vAlign w:val="center"/>
            <w:hideMark/>
          </w:tcPr>
          <w:p w14:paraId="370E988D"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1,2</w:t>
            </w:r>
          </w:p>
        </w:tc>
        <w:tc>
          <w:tcPr>
            <w:tcW w:w="709" w:type="dxa"/>
            <w:vAlign w:val="center"/>
            <w:hideMark/>
          </w:tcPr>
          <w:p w14:paraId="45FF1B63"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1,1</w:t>
            </w:r>
          </w:p>
        </w:tc>
        <w:tc>
          <w:tcPr>
            <w:tcW w:w="709" w:type="dxa"/>
            <w:vAlign w:val="center"/>
            <w:hideMark/>
          </w:tcPr>
          <w:p w14:paraId="66CA75BC"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w:t>
            </w:r>
          </w:p>
        </w:tc>
      </w:tr>
      <w:tr w:rsidR="000B76F4" w:rsidRPr="000B76F4" w14:paraId="1BC7AFC0" w14:textId="77777777" w:rsidTr="000B76F4">
        <w:trPr>
          <w:trHeight w:val="187"/>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CDA25D9"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20. Subsīdijas</w:t>
            </w:r>
          </w:p>
        </w:tc>
        <w:tc>
          <w:tcPr>
            <w:tcW w:w="1134" w:type="dxa"/>
            <w:hideMark/>
          </w:tcPr>
          <w:p w14:paraId="27EABD18"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D.3 </w:t>
            </w:r>
          </w:p>
        </w:tc>
        <w:tc>
          <w:tcPr>
            <w:tcW w:w="1134" w:type="dxa"/>
            <w:vAlign w:val="center"/>
            <w:hideMark/>
          </w:tcPr>
          <w:p w14:paraId="7364F8E2"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143,8</w:t>
            </w:r>
          </w:p>
        </w:tc>
        <w:tc>
          <w:tcPr>
            <w:tcW w:w="861" w:type="dxa"/>
            <w:vAlign w:val="center"/>
            <w:hideMark/>
          </w:tcPr>
          <w:p w14:paraId="03ACE274"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0,6</w:t>
            </w:r>
          </w:p>
        </w:tc>
        <w:tc>
          <w:tcPr>
            <w:tcW w:w="708" w:type="dxa"/>
            <w:vAlign w:val="center"/>
            <w:hideMark/>
          </w:tcPr>
          <w:p w14:paraId="1A78226E"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0,6</w:t>
            </w:r>
          </w:p>
        </w:tc>
        <w:tc>
          <w:tcPr>
            <w:tcW w:w="709" w:type="dxa"/>
            <w:vAlign w:val="center"/>
            <w:hideMark/>
          </w:tcPr>
          <w:p w14:paraId="0DCDA8D6"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0,6</w:t>
            </w:r>
          </w:p>
        </w:tc>
        <w:tc>
          <w:tcPr>
            <w:tcW w:w="709" w:type="dxa"/>
            <w:vAlign w:val="center"/>
            <w:hideMark/>
          </w:tcPr>
          <w:p w14:paraId="25D2C92C"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0,7</w:t>
            </w:r>
          </w:p>
        </w:tc>
        <w:tc>
          <w:tcPr>
            <w:tcW w:w="709" w:type="dxa"/>
            <w:vAlign w:val="center"/>
            <w:hideMark/>
          </w:tcPr>
          <w:p w14:paraId="227C7600"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0,8</w:t>
            </w:r>
          </w:p>
        </w:tc>
      </w:tr>
      <w:tr w:rsidR="000B76F4" w:rsidRPr="000B76F4" w14:paraId="60261DCA" w14:textId="77777777" w:rsidTr="000B76F4">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6AE12BE"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21. Bruto kopējā pamatkapitāla veidošana</w:t>
            </w:r>
          </w:p>
        </w:tc>
        <w:tc>
          <w:tcPr>
            <w:tcW w:w="1134" w:type="dxa"/>
            <w:hideMark/>
          </w:tcPr>
          <w:p w14:paraId="6F11F37D"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P.51 </w:t>
            </w:r>
          </w:p>
        </w:tc>
        <w:tc>
          <w:tcPr>
            <w:tcW w:w="1134" w:type="dxa"/>
            <w:vAlign w:val="center"/>
            <w:hideMark/>
          </w:tcPr>
          <w:p w14:paraId="1EB6F4E7"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1036,4</w:t>
            </w:r>
          </w:p>
        </w:tc>
        <w:tc>
          <w:tcPr>
            <w:tcW w:w="861" w:type="dxa"/>
            <w:vAlign w:val="center"/>
            <w:hideMark/>
          </w:tcPr>
          <w:p w14:paraId="6BDE0A5F"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4,3</w:t>
            </w:r>
          </w:p>
        </w:tc>
        <w:tc>
          <w:tcPr>
            <w:tcW w:w="708" w:type="dxa"/>
            <w:vAlign w:val="center"/>
            <w:hideMark/>
          </w:tcPr>
          <w:p w14:paraId="4040D127"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4,0</w:t>
            </w:r>
          </w:p>
        </w:tc>
        <w:tc>
          <w:tcPr>
            <w:tcW w:w="709" w:type="dxa"/>
            <w:vAlign w:val="center"/>
            <w:hideMark/>
          </w:tcPr>
          <w:p w14:paraId="11A49BB7"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3,4</w:t>
            </w:r>
          </w:p>
        </w:tc>
        <w:tc>
          <w:tcPr>
            <w:tcW w:w="709" w:type="dxa"/>
            <w:vAlign w:val="center"/>
            <w:hideMark/>
          </w:tcPr>
          <w:p w14:paraId="72F66716"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3,2</w:t>
            </w:r>
          </w:p>
        </w:tc>
        <w:tc>
          <w:tcPr>
            <w:tcW w:w="709" w:type="dxa"/>
            <w:vAlign w:val="center"/>
            <w:hideMark/>
          </w:tcPr>
          <w:p w14:paraId="71DDAC41"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3,1</w:t>
            </w:r>
          </w:p>
        </w:tc>
      </w:tr>
      <w:tr w:rsidR="000B76F4" w:rsidRPr="000B76F4" w14:paraId="6A17D3B8" w14:textId="77777777" w:rsidTr="000B76F4">
        <w:trPr>
          <w:trHeight w:val="123"/>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151C90B"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22. Kapitālo izdevumu transferti</w:t>
            </w:r>
          </w:p>
        </w:tc>
        <w:tc>
          <w:tcPr>
            <w:tcW w:w="1134" w:type="dxa"/>
            <w:hideMark/>
          </w:tcPr>
          <w:p w14:paraId="299A6BBC"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D.9  </w:t>
            </w:r>
          </w:p>
        </w:tc>
        <w:tc>
          <w:tcPr>
            <w:tcW w:w="1134" w:type="dxa"/>
            <w:vAlign w:val="center"/>
            <w:hideMark/>
          </w:tcPr>
          <w:p w14:paraId="2423E2B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104,3</w:t>
            </w:r>
          </w:p>
        </w:tc>
        <w:tc>
          <w:tcPr>
            <w:tcW w:w="861" w:type="dxa"/>
            <w:vAlign w:val="center"/>
            <w:hideMark/>
          </w:tcPr>
          <w:p w14:paraId="0FBE4587"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0,4</w:t>
            </w:r>
          </w:p>
        </w:tc>
        <w:tc>
          <w:tcPr>
            <w:tcW w:w="708" w:type="dxa"/>
            <w:vAlign w:val="center"/>
            <w:hideMark/>
          </w:tcPr>
          <w:p w14:paraId="117E0FDB"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0,0</w:t>
            </w:r>
          </w:p>
        </w:tc>
        <w:tc>
          <w:tcPr>
            <w:tcW w:w="709" w:type="dxa"/>
            <w:vAlign w:val="center"/>
            <w:hideMark/>
          </w:tcPr>
          <w:p w14:paraId="2C3306CC"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0,0</w:t>
            </w:r>
          </w:p>
        </w:tc>
        <w:tc>
          <w:tcPr>
            <w:tcW w:w="709" w:type="dxa"/>
            <w:vAlign w:val="center"/>
            <w:hideMark/>
          </w:tcPr>
          <w:p w14:paraId="3C988977"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0,0</w:t>
            </w:r>
          </w:p>
        </w:tc>
        <w:tc>
          <w:tcPr>
            <w:tcW w:w="709" w:type="dxa"/>
            <w:vAlign w:val="center"/>
            <w:hideMark/>
          </w:tcPr>
          <w:p w14:paraId="42DE6D67"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0,0</w:t>
            </w:r>
          </w:p>
        </w:tc>
      </w:tr>
      <w:tr w:rsidR="000B76F4" w:rsidRPr="000B76F4" w14:paraId="19E40AAD" w14:textId="77777777" w:rsidTr="000B76F4">
        <w:trPr>
          <w:cnfStyle w:val="000000100000" w:firstRow="0" w:lastRow="0" w:firstColumn="0" w:lastColumn="0" w:oddVBand="0" w:evenVBand="0" w:oddHBand="1" w:evenHBand="0"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2F2228BD"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23. Pārējie izdevumi</w:t>
            </w:r>
          </w:p>
        </w:tc>
        <w:tc>
          <w:tcPr>
            <w:tcW w:w="1134" w:type="dxa"/>
            <w:hideMark/>
          </w:tcPr>
          <w:p w14:paraId="4C81ADE8"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 xml:space="preserve"> </w:t>
            </w:r>
          </w:p>
        </w:tc>
        <w:tc>
          <w:tcPr>
            <w:tcW w:w="1134" w:type="dxa"/>
            <w:vAlign w:val="center"/>
            <w:hideMark/>
          </w:tcPr>
          <w:p w14:paraId="25F96F8E"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943,6</w:t>
            </w:r>
          </w:p>
        </w:tc>
        <w:tc>
          <w:tcPr>
            <w:tcW w:w="861" w:type="dxa"/>
            <w:vAlign w:val="center"/>
            <w:hideMark/>
          </w:tcPr>
          <w:p w14:paraId="6D395EFE"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3,9</w:t>
            </w:r>
          </w:p>
        </w:tc>
        <w:tc>
          <w:tcPr>
            <w:tcW w:w="708" w:type="dxa"/>
            <w:vAlign w:val="center"/>
            <w:hideMark/>
          </w:tcPr>
          <w:p w14:paraId="4CFE3042"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3,3</w:t>
            </w:r>
          </w:p>
        </w:tc>
        <w:tc>
          <w:tcPr>
            <w:tcW w:w="709" w:type="dxa"/>
            <w:vAlign w:val="center"/>
            <w:hideMark/>
          </w:tcPr>
          <w:p w14:paraId="4E8E22BA"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3,3</w:t>
            </w:r>
          </w:p>
        </w:tc>
        <w:tc>
          <w:tcPr>
            <w:tcW w:w="709" w:type="dxa"/>
            <w:vAlign w:val="center"/>
            <w:hideMark/>
          </w:tcPr>
          <w:p w14:paraId="3DD70FBD"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3,0</w:t>
            </w:r>
          </w:p>
        </w:tc>
        <w:tc>
          <w:tcPr>
            <w:tcW w:w="709" w:type="dxa"/>
            <w:vAlign w:val="center"/>
            <w:hideMark/>
          </w:tcPr>
          <w:p w14:paraId="7E839B26"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2,7</w:t>
            </w:r>
          </w:p>
        </w:tc>
      </w:tr>
      <w:tr w:rsidR="000B76F4" w:rsidRPr="000B76F4" w14:paraId="5FF0DFE9" w14:textId="77777777" w:rsidTr="000B76F4">
        <w:trPr>
          <w:trHeight w:val="215"/>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C7A4AB7"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24.=7. Kopējie izdevumi</w:t>
            </w:r>
          </w:p>
        </w:tc>
        <w:tc>
          <w:tcPr>
            <w:tcW w:w="1134" w:type="dxa"/>
            <w:hideMark/>
          </w:tcPr>
          <w:p w14:paraId="5A912D57" w14:textId="77777777" w:rsidR="000B76F4" w:rsidRPr="000B76F4" w:rsidRDefault="000B76F4" w:rsidP="005812B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TE</w:t>
            </w:r>
          </w:p>
        </w:tc>
        <w:tc>
          <w:tcPr>
            <w:tcW w:w="1134" w:type="dxa"/>
            <w:vAlign w:val="center"/>
            <w:hideMark/>
          </w:tcPr>
          <w:p w14:paraId="0E853ACD"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8754,0</w:t>
            </w:r>
          </w:p>
        </w:tc>
        <w:tc>
          <w:tcPr>
            <w:tcW w:w="861" w:type="dxa"/>
            <w:vAlign w:val="center"/>
            <w:hideMark/>
          </w:tcPr>
          <w:p w14:paraId="282D75EF"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36,4</w:t>
            </w:r>
          </w:p>
        </w:tc>
        <w:tc>
          <w:tcPr>
            <w:tcW w:w="708" w:type="dxa"/>
            <w:vAlign w:val="center"/>
            <w:hideMark/>
          </w:tcPr>
          <w:p w14:paraId="731212C9"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35,6</w:t>
            </w:r>
          </w:p>
        </w:tc>
        <w:tc>
          <w:tcPr>
            <w:tcW w:w="709" w:type="dxa"/>
            <w:vAlign w:val="center"/>
            <w:hideMark/>
          </w:tcPr>
          <w:p w14:paraId="1767955E"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34,3</w:t>
            </w:r>
          </w:p>
        </w:tc>
        <w:tc>
          <w:tcPr>
            <w:tcW w:w="709" w:type="dxa"/>
            <w:vAlign w:val="center"/>
            <w:hideMark/>
          </w:tcPr>
          <w:p w14:paraId="7BDA03CC"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34,0</w:t>
            </w:r>
          </w:p>
        </w:tc>
        <w:tc>
          <w:tcPr>
            <w:tcW w:w="709" w:type="dxa"/>
            <w:vAlign w:val="center"/>
            <w:hideMark/>
          </w:tcPr>
          <w:p w14:paraId="75D0A257" w14:textId="77777777" w:rsidR="000B76F4" w:rsidRPr="000B76F4" w:rsidRDefault="000B76F4" w:rsidP="000B7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34,0</w:t>
            </w:r>
          </w:p>
        </w:tc>
      </w:tr>
      <w:tr w:rsidR="000B76F4" w:rsidRPr="000B76F4" w14:paraId="19DCD5D4" w14:textId="77777777" w:rsidTr="000B76F4">
        <w:trPr>
          <w:cnfStyle w:val="000000100000" w:firstRow="0" w:lastRow="0" w:firstColumn="0" w:lastColumn="0" w:oddVBand="0" w:evenVBand="0" w:oddHBand="1" w:evenHBand="0" w:firstRowFirstColumn="0" w:firstRowLastColumn="0" w:lastRowFirstColumn="0" w:lastRowLastColumn="0"/>
          <w:trHeight w:val="119"/>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6CAD4AC" w14:textId="77777777" w:rsidR="000B76F4" w:rsidRPr="000B76F4" w:rsidRDefault="000B76F4" w:rsidP="005812B4">
            <w:pPr>
              <w:rPr>
                <w:rFonts w:ascii="Times New Roman" w:eastAsia="Times New Roman" w:hAnsi="Times New Roman" w:cs="Times New Roman"/>
                <w:b w:val="0"/>
                <w:color w:val="auto"/>
                <w:sz w:val="20"/>
                <w:szCs w:val="20"/>
                <w:lang w:eastAsia="lv-LV"/>
              </w:rPr>
            </w:pPr>
            <w:r w:rsidRPr="000B76F4">
              <w:rPr>
                <w:rFonts w:ascii="Times New Roman" w:eastAsia="Times New Roman" w:hAnsi="Times New Roman" w:cs="Times New Roman"/>
                <w:b w:val="0"/>
                <w:color w:val="auto"/>
                <w:sz w:val="20"/>
                <w:szCs w:val="20"/>
                <w:lang w:eastAsia="lv-LV"/>
              </w:rPr>
              <w:t>Valdības patēriņš</w:t>
            </w:r>
          </w:p>
        </w:tc>
        <w:tc>
          <w:tcPr>
            <w:tcW w:w="1134" w:type="dxa"/>
            <w:hideMark/>
          </w:tcPr>
          <w:p w14:paraId="1E4D9AF6" w14:textId="77777777" w:rsidR="000B76F4" w:rsidRPr="000B76F4" w:rsidRDefault="000B76F4" w:rsidP="005812B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P.3</w:t>
            </w:r>
          </w:p>
        </w:tc>
        <w:tc>
          <w:tcPr>
            <w:tcW w:w="1134" w:type="dxa"/>
            <w:vAlign w:val="center"/>
            <w:hideMark/>
          </w:tcPr>
          <w:p w14:paraId="223E85FE"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4084,5</w:t>
            </w:r>
          </w:p>
        </w:tc>
        <w:tc>
          <w:tcPr>
            <w:tcW w:w="861" w:type="dxa"/>
            <w:vAlign w:val="center"/>
            <w:hideMark/>
          </w:tcPr>
          <w:p w14:paraId="53A724B5"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17,0</w:t>
            </w:r>
          </w:p>
        </w:tc>
        <w:tc>
          <w:tcPr>
            <w:tcW w:w="708" w:type="dxa"/>
            <w:vAlign w:val="center"/>
            <w:hideMark/>
          </w:tcPr>
          <w:p w14:paraId="4E381FE0"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17,8</w:t>
            </w:r>
          </w:p>
        </w:tc>
        <w:tc>
          <w:tcPr>
            <w:tcW w:w="709" w:type="dxa"/>
            <w:vAlign w:val="center"/>
            <w:hideMark/>
          </w:tcPr>
          <w:p w14:paraId="5A2BB255"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17,2</w:t>
            </w:r>
          </w:p>
        </w:tc>
        <w:tc>
          <w:tcPr>
            <w:tcW w:w="709" w:type="dxa"/>
            <w:vAlign w:val="center"/>
            <w:hideMark/>
          </w:tcPr>
          <w:p w14:paraId="59655E8A"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17,1</w:t>
            </w:r>
          </w:p>
        </w:tc>
        <w:tc>
          <w:tcPr>
            <w:tcW w:w="709" w:type="dxa"/>
            <w:vAlign w:val="center"/>
            <w:hideMark/>
          </w:tcPr>
          <w:p w14:paraId="20E8B10C" w14:textId="77777777" w:rsidR="000B76F4" w:rsidRPr="000B76F4" w:rsidRDefault="000B76F4" w:rsidP="000B7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0B76F4">
              <w:rPr>
                <w:rFonts w:ascii="Times New Roman" w:eastAsia="Times New Roman" w:hAnsi="Times New Roman" w:cs="Times New Roman"/>
                <w:color w:val="auto"/>
                <w:sz w:val="20"/>
                <w:szCs w:val="20"/>
                <w:lang w:eastAsia="lv-LV"/>
              </w:rPr>
              <w:t>17,1</w:t>
            </w:r>
          </w:p>
        </w:tc>
      </w:tr>
    </w:tbl>
    <w:p w14:paraId="7E5F04F3" w14:textId="603329B9" w:rsidR="00542988" w:rsidRDefault="00527227" w:rsidP="00F171EC">
      <w:pPr>
        <w:spacing w:after="0" w:line="240" w:lineRule="auto"/>
        <w:rPr>
          <w:rFonts w:ascii="Times New Roman" w:eastAsia="Times New Roman" w:hAnsi="Times New Roman" w:cs="Times New Roman"/>
          <w:sz w:val="20"/>
          <w:szCs w:val="20"/>
          <w:lang w:eastAsia="lv-LV"/>
        </w:rPr>
      </w:pPr>
      <w:r w:rsidRPr="00E773FD">
        <w:rPr>
          <w:rFonts w:ascii="Times New Roman" w:eastAsia="Times New Roman" w:hAnsi="Times New Roman" w:cs="Times New Roman"/>
          <w:sz w:val="20"/>
          <w:szCs w:val="20"/>
          <w:lang w:eastAsia="lv-LV"/>
        </w:rPr>
        <w:t xml:space="preserve">* </w:t>
      </w:r>
      <w:r w:rsidR="00E42D7B">
        <w:rPr>
          <w:rFonts w:ascii="Times New Roman" w:eastAsia="Times New Roman" w:hAnsi="Times New Roman" w:cs="Times New Roman"/>
          <w:sz w:val="20"/>
          <w:szCs w:val="20"/>
          <w:lang w:eastAsia="lv-LV"/>
        </w:rPr>
        <w:t>FM</w:t>
      </w:r>
      <w:r w:rsidRPr="00E773FD">
        <w:rPr>
          <w:rFonts w:ascii="Times New Roman" w:eastAsia="Times New Roman" w:hAnsi="Times New Roman" w:cs="Times New Roman"/>
          <w:sz w:val="20"/>
          <w:szCs w:val="20"/>
          <w:lang w:eastAsia="lv-LV"/>
        </w:rPr>
        <w:t xml:space="preserve"> indikatīvs novērtējums</w:t>
      </w:r>
    </w:p>
    <w:p w14:paraId="3B3D7007" w14:textId="3EFF8D17" w:rsidR="00527227" w:rsidRDefault="00527227" w:rsidP="00F171EC">
      <w:pPr>
        <w:spacing w:after="0" w:line="240" w:lineRule="auto"/>
        <w:rPr>
          <w:rFonts w:ascii="Times New Roman" w:hAnsi="Times New Roman" w:cs="Times New Roman"/>
          <w:b/>
          <w:szCs w:val="24"/>
        </w:rPr>
      </w:pPr>
      <w:r w:rsidRPr="00E773FD">
        <w:rPr>
          <w:rFonts w:ascii="Times New Roman" w:eastAsia="Times New Roman" w:hAnsi="Times New Roman" w:cs="Times New Roman"/>
          <w:sz w:val="20"/>
          <w:szCs w:val="20"/>
          <w:lang w:eastAsia="lv-LV"/>
        </w:rPr>
        <w:t>** Ieskai</w:t>
      </w:r>
      <w:r>
        <w:rPr>
          <w:rFonts w:ascii="Times New Roman" w:eastAsia="Times New Roman" w:hAnsi="Times New Roman" w:cs="Times New Roman"/>
          <w:sz w:val="20"/>
          <w:szCs w:val="20"/>
          <w:lang w:eastAsia="lv-LV"/>
        </w:rPr>
        <w:t xml:space="preserve">tot ES budžetā iekasēto nodokļu </w:t>
      </w:r>
      <w:r w:rsidRPr="00E773FD">
        <w:rPr>
          <w:rFonts w:ascii="Times New Roman" w:eastAsia="Times New Roman" w:hAnsi="Times New Roman" w:cs="Times New Roman"/>
          <w:sz w:val="20"/>
          <w:szCs w:val="20"/>
          <w:lang w:eastAsia="lv-LV"/>
        </w:rPr>
        <w:t>daļu</w:t>
      </w:r>
    </w:p>
    <w:p w14:paraId="5F3CEFD7" w14:textId="3DFFB1F2" w:rsidR="00F51615" w:rsidRPr="00C81719" w:rsidRDefault="00C81719" w:rsidP="00F51615">
      <w:pPr>
        <w:rPr>
          <w:rFonts w:ascii="Times New Roman" w:hAnsi="Times New Roman" w:cs="Times New Roman"/>
          <w:b/>
          <w:sz w:val="24"/>
          <w:szCs w:val="24"/>
        </w:rPr>
      </w:pPr>
      <w:r>
        <w:rPr>
          <w:rFonts w:ascii="Times New Roman" w:hAnsi="Times New Roman" w:cs="Times New Roman"/>
          <w:b/>
          <w:sz w:val="24"/>
          <w:szCs w:val="24"/>
        </w:rPr>
        <w:t xml:space="preserve"> 2b.</w:t>
      </w:r>
      <w:r w:rsidR="00F51615" w:rsidRPr="00C81719">
        <w:rPr>
          <w:rFonts w:ascii="Times New Roman" w:hAnsi="Times New Roman" w:cs="Times New Roman"/>
          <w:b/>
          <w:sz w:val="24"/>
          <w:szCs w:val="24"/>
        </w:rPr>
        <w:t>tabula. Prognozes pie nemainīgas politikas</w:t>
      </w:r>
    </w:p>
    <w:tbl>
      <w:tblPr>
        <w:tblStyle w:val="GridTable6ColorfulAccent1"/>
        <w:tblW w:w="8931" w:type="dxa"/>
        <w:jc w:val="center"/>
        <w:tblLook w:val="04A0" w:firstRow="1" w:lastRow="0" w:firstColumn="1" w:lastColumn="0" w:noHBand="0" w:noVBand="1"/>
      </w:tblPr>
      <w:tblGrid>
        <w:gridCol w:w="4115"/>
        <w:gridCol w:w="1134"/>
        <w:gridCol w:w="798"/>
        <w:gridCol w:w="708"/>
        <w:gridCol w:w="758"/>
        <w:gridCol w:w="709"/>
        <w:gridCol w:w="709"/>
      </w:tblGrid>
      <w:tr w:rsidR="00F11D34" w:rsidRPr="00F11D34" w14:paraId="65F2D02F" w14:textId="77777777" w:rsidTr="003028D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15" w:type="dxa"/>
            <w:hideMark/>
          </w:tcPr>
          <w:p w14:paraId="3FC9F49B" w14:textId="77777777" w:rsidR="00E773FD" w:rsidRPr="00F11D34" w:rsidRDefault="00E773FD" w:rsidP="00E773FD">
            <w:pPr>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 </w:t>
            </w:r>
          </w:p>
        </w:tc>
        <w:tc>
          <w:tcPr>
            <w:tcW w:w="1134" w:type="dxa"/>
            <w:vAlign w:val="center"/>
            <w:hideMark/>
          </w:tcPr>
          <w:p w14:paraId="41B9AE8F" w14:textId="77777777" w:rsidR="00E773FD" w:rsidRPr="00F11D34" w:rsidRDefault="00E773FD"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lang w:eastAsia="lv-LV"/>
              </w:rPr>
            </w:pPr>
            <w:r w:rsidRPr="00F11D34">
              <w:rPr>
                <w:rFonts w:ascii="Times New Roman" w:eastAsia="Times New Roman" w:hAnsi="Times New Roman" w:cs="Times New Roman"/>
                <w:bCs w:val="0"/>
                <w:color w:val="auto"/>
                <w:sz w:val="20"/>
                <w:lang w:eastAsia="lv-LV"/>
              </w:rPr>
              <w:t>2014</w:t>
            </w:r>
          </w:p>
        </w:tc>
        <w:tc>
          <w:tcPr>
            <w:tcW w:w="798" w:type="dxa"/>
            <w:vAlign w:val="center"/>
            <w:hideMark/>
          </w:tcPr>
          <w:p w14:paraId="0B6A6C09" w14:textId="77777777" w:rsidR="00E773FD" w:rsidRPr="00F11D34" w:rsidRDefault="00E773FD"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lang w:eastAsia="lv-LV"/>
              </w:rPr>
            </w:pPr>
            <w:r w:rsidRPr="00F11D34">
              <w:rPr>
                <w:rFonts w:ascii="Times New Roman" w:eastAsia="Times New Roman" w:hAnsi="Times New Roman" w:cs="Times New Roman"/>
                <w:bCs w:val="0"/>
                <w:color w:val="auto"/>
                <w:sz w:val="20"/>
                <w:lang w:eastAsia="lv-LV"/>
              </w:rPr>
              <w:t>2014</w:t>
            </w:r>
          </w:p>
        </w:tc>
        <w:tc>
          <w:tcPr>
            <w:tcW w:w="708" w:type="dxa"/>
            <w:vAlign w:val="center"/>
            <w:hideMark/>
          </w:tcPr>
          <w:p w14:paraId="0CBF3EB5" w14:textId="77777777" w:rsidR="00E773FD" w:rsidRPr="00F11D34" w:rsidRDefault="00E773FD"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lang w:eastAsia="lv-LV"/>
              </w:rPr>
            </w:pPr>
            <w:r w:rsidRPr="00F11D34">
              <w:rPr>
                <w:rFonts w:ascii="Times New Roman" w:eastAsia="Times New Roman" w:hAnsi="Times New Roman" w:cs="Times New Roman"/>
                <w:bCs w:val="0"/>
                <w:color w:val="auto"/>
                <w:sz w:val="20"/>
                <w:lang w:eastAsia="lv-LV"/>
              </w:rPr>
              <w:t>2015</w:t>
            </w:r>
          </w:p>
        </w:tc>
        <w:tc>
          <w:tcPr>
            <w:tcW w:w="758" w:type="dxa"/>
            <w:vAlign w:val="center"/>
            <w:hideMark/>
          </w:tcPr>
          <w:p w14:paraId="1FD56A64" w14:textId="77777777" w:rsidR="00E773FD" w:rsidRPr="00F11D34" w:rsidRDefault="00E773FD"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lang w:eastAsia="lv-LV"/>
              </w:rPr>
            </w:pPr>
            <w:r w:rsidRPr="00F11D34">
              <w:rPr>
                <w:rFonts w:ascii="Times New Roman" w:eastAsia="Times New Roman" w:hAnsi="Times New Roman" w:cs="Times New Roman"/>
                <w:bCs w:val="0"/>
                <w:color w:val="auto"/>
                <w:sz w:val="20"/>
                <w:lang w:eastAsia="lv-LV"/>
              </w:rPr>
              <w:t>2016</w:t>
            </w:r>
          </w:p>
        </w:tc>
        <w:tc>
          <w:tcPr>
            <w:tcW w:w="709" w:type="dxa"/>
            <w:vAlign w:val="center"/>
            <w:hideMark/>
          </w:tcPr>
          <w:p w14:paraId="595F407D" w14:textId="77777777" w:rsidR="00E773FD" w:rsidRPr="00F11D34" w:rsidRDefault="00E773FD"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lang w:eastAsia="lv-LV"/>
              </w:rPr>
            </w:pPr>
            <w:r w:rsidRPr="00F11D34">
              <w:rPr>
                <w:rFonts w:ascii="Times New Roman" w:eastAsia="Times New Roman" w:hAnsi="Times New Roman" w:cs="Times New Roman"/>
                <w:bCs w:val="0"/>
                <w:color w:val="auto"/>
                <w:sz w:val="20"/>
                <w:lang w:eastAsia="lv-LV"/>
              </w:rPr>
              <w:t>2017</w:t>
            </w:r>
          </w:p>
        </w:tc>
        <w:tc>
          <w:tcPr>
            <w:tcW w:w="709" w:type="dxa"/>
            <w:vAlign w:val="center"/>
            <w:hideMark/>
          </w:tcPr>
          <w:p w14:paraId="3639E429" w14:textId="77777777" w:rsidR="00E773FD" w:rsidRPr="00F11D34" w:rsidRDefault="00E773FD" w:rsidP="00F11D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0"/>
                <w:lang w:eastAsia="lv-LV"/>
              </w:rPr>
            </w:pPr>
            <w:r w:rsidRPr="00F11D34">
              <w:rPr>
                <w:rFonts w:ascii="Times New Roman" w:eastAsia="Times New Roman" w:hAnsi="Times New Roman" w:cs="Times New Roman"/>
                <w:bCs w:val="0"/>
                <w:color w:val="auto"/>
                <w:sz w:val="20"/>
                <w:lang w:eastAsia="lv-LV"/>
              </w:rPr>
              <w:t>2018</w:t>
            </w:r>
          </w:p>
        </w:tc>
      </w:tr>
      <w:tr w:rsidR="00F11D34" w:rsidRPr="00F11D34" w14:paraId="027F63A4" w14:textId="77777777" w:rsidTr="003028D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15" w:type="dxa"/>
            <w:hideMark/>
          </w:tcPr>
          <w:p w14:paraId="2F298C5E" w14:textId="77777777" w:rsidR="00E773FD" w:rsidRPr="00F11D34" w:rsidRDefault="00E773FD" w:rsidP="00E773FD">
            <w:pPr>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 </w:t>
            </w:r>
          </w:p>
        </w:tc>
        <w:tc>
          <w:tcPr>
            <w:tcW w:w="1134" w:type="dxa"/>
            <w:hideMark/>
          </w:tcPr>
          <w:p w14:paraId="67FABE33" w14:textId="77777777" w:rsidR="00E773FD" w:rsidRPr="00F11D34" w:rsidRDefault="00E773FD" w:rsidP="00E773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 xml:space="preserve">milj. </w:t>
            </w:r>
            <w:r w:rsidRPr="00F11D34">
              <w:rPr>
                <w:rFonts w:ascii="Times New Roman" w:eastAsia="Times New Roman" w:hAnsi="Times New Roman" w:cs="Times New Roman"/>
                <w:i/>
                <w:iCs/>
                <w:color w:val="auto"/>
                <w:sz w:val="20"/>
                <w:lang w:eastAsia="lv-LV"/>
              </w:rPr>
              <w:t>euro</w:t>
            </w:r>
          </w:p>
        </w:tc>
        <w:tc>
          <w:tcPr>
            <w:tcW w:w="3682" w:type="dxa"/>
            <w:gridSpan w:val="5"/>
            <w:hideMark/>
          </w:tcPr>
          <w:p w14:paraId="195F9261" w14:textId="77777777" w:rsidR="00E773FD" w:rsidRPr="00F11D34" w:rsidRDefault="00E773FD" w:rsidP="00E773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 no IKP</w:t>
            </w:r>
          </w:p>
        </w:tc>
      </w:tr>
      <w:tr w:rsidR="00F11D34" w:rsidRPr="00F11D34" w14:paraId="31145FD4" w14:textId="77777777" w:rsidTr="003028D0">
        <w:trPr>
          <w:trHeight w:val="300"/>
          <w:jc w:val="center"/>
        </w:trPr>
        <w:tc>
          <w:tcPr>
            <w:cnfStyle w:val="001000000000" w:firstRow="0" w:lastRow="0" w:firstColumn="1" w:lastColumn="0" w:oddVBand="0" w:evenVBand="0" w:oddHBand="0" w:evenHBand="0" w:firstRowFirstColumn="0" w:firstRowLastColumn="0" w:lastRowFirstColumn="0" w:lastRowLastColumn="0"/>
            <w:tcW w:w="4115" w:type="dxa"/>
            <w:vAlign w:val="center"/>
            <w:hideMark/>
          </w:tcPr>
          <w:p w14:paraId="6C1E3A3B" w14:textId="77777777" w:rsidR="00E773FD" w:rsidRPr="00F11D34" w:rsidRDefault="00E773FD" w:rsidP="00F11D34">
            <w:pPr>
              <w:rPr>
                <w:rFonts w:ascii="Times New Roman" w:eastAsia="Times New Roman" w:hAnsi="Times New Roman" w:cs="Times New Roman"/>
                <w:b w:val="0"/>
                <w:color w:val="auto"/>
                <w:sz w:val="20"/>
                <w:lang w:eastAsia="lv-LV"/>
              </w:rPr>
            </w:pPr>
            <w:r w:rsidRPr="00F11D34">
              <w:rPr>
                <w:rFonts w:ascii="Times New Roman" w:eastAsia="Times New Roman" w:hAnsi="Times New Roman" w:cs="Times New Roman"/>
                <w:b w:val="0"/>
                <w:color w:val="auto"/>
                <w:sz w:val="20"/>
                <w:lang w:eastAsia="lv-LV"/>
              </w:rPr>
              <w:t>1. Kopējie ieņēmumi pie nemainīgas politikas</w:t>
            </w:r>
          </w:p>
        </w:tc>
        <w:tc>
          <w:tcPr>
            <w:tcW w:w="1134" w:type="dxa"/>
            <w:vAlign w:val="center"/>
            <w:hideMark/>
          </w:tcPr>
          <w:p w14:paraId="5EACD75B" w14:textId="77777777" w:rsidR="00E773FD" w:rsidRPr="00F11D34" w:rsidRDefault="00E773FD"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8414,3</w:t>
            </w:r>
          </w:p>
        </w:tc>
        <w:tc>
          <w:tcPr>
            <w:tcW w:w="798" w:type="dxa"/>
            <w:vAlign w:val="center"/>
            <w:hideMark/>
          </w:tcPr>
          <w:p w14:paraId="27CE9A72" w14:textId="77777777" w:rsidR="00E773FD" w:rsidRPr="00F11D34" w:rsidRDefault="00E773FD"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35,0</w:t>
            </w:r>
          </w:p>
        </w:tc>
        <w:tc>
          <w:tcPr>
            <w:tcW w:w="708" w:type="dxa"/>
            <w:vAlign w:val="center"/>
            <w:hideMark/>
          </w:tcPr>
          <w:p w14:paraId="3C07DFD4" w14:textId="77777777" w:rsidR="00E773FD" w:rsidRPr="00F11D34" w:rsidRDefault="00E773FD"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34,2</w:t>
            </w:r>
          </w:p>
        </w:tc>
        <w:tc>
          <w:tcPr>
            <w:tcW w:w="758" w:type="dxa"/>
            <w:vAlign w:val="center"/>
            <w:hideMark/>
          </w:tcPr>
          <w:p w14:paraId="1522AEBF" w14:textId="77777777" w:rsidR="00E773FD" w:rsidRPr="00F11D34" w:rsidRDefault="00E773FD"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32,7</w:t>
            </w:r>
          </w:p>
        </w:tc>
        <w:tc>
          <w:tcPr>
            <w:tcW w:w="709" w:type="dxa"/>
            <w:vAlign w:val="center"/>
            <w:hideMark/>
          </w:tcPr>
          <w:p w14:paraId="6E9689FC" w14:textId="77777777" w:rsidR="00E773FD" w:rsidRPr="00F11D34" w:rsidRDefault="00E773FD"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32,7</w:t>
            </w:r>
          </w:p>
        </w:tc>
        <w:tc>
          <w:tcPr>
            <w:tcW w:w="709" w:type="dxa"/>
            <w:vAlign w:val="center"/>
            <w:hideMark/>
          </w:tcPr>
          <w:p w14:paraId="20387605" w14:textId="77777777" w:rsidR="00E773FD" w:rsidRPr="00F11D34" w:rsidRDefault="00E773FD" w:rsidP="00F11D3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32,3</w:t>
            </w:r>
          </w:p>
        </w:tc>
      </w:tr>
      <w:tr w:rsidR="00F11D34" w:rsidRPr="00F11D34" w14:paraId="07489448" w14:textId="77777777" w:rsidTr="003028D0">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115" w:type="dxa"/>
            <w:vAlign w:val="center"/>
            <w:hideMark/>
          </w:tcPr>
          <w:p w14:paraId="75AD22D3" w14:textId="77777777" w:rsidR="00E773FD" w:rsidRPr="00F11D34" w:rsidRDefault="00E773FD" w:rsidP="00F11D34">
            <w:pPr>
              <w:rPr>
                <w:rFonts w:ascii="Times New Roman" w:eastAsia="Times New Roman" w:hAnsi="Times New Roman" w:cs="Times New Roman"/>
                <w:b w:val="0"/>
                <w:color w:val="auto"/>
                <w:sz w:val="20"/>
                <w:lang w:eastAsia="lv-LV"/>
              </w:rPr>
            </w:pPr>
            <w:r w:rsidRPr="00F11D34">
              <w:rPr>
                <w:rFonts w:ascii="Times New Roman" w:eastAsia="Times New Roman" w:hAnsi="Times New Roman" w:cs="Times New Roman"/>
                <w:b w:val="0"/>
                <w:color w:val="auto"/>
                <w:sz w:val="20"/>
                <w:lang w:eastAsia="lv-LV"/>
              </w:rPr>
              <w:t>2. Kopējie izdevumi pie nemainīgas politikas</w:t>
            </w:r>
          </w:p>
        </w:tc>
        <w:tc>
          <w:tcPr>
            <w:tcW w:w="1134" w:type="dxa"/>
            <w:vAlign w:val="center"/>
            <w:hideMark/>
          </w:tcPr>
          <w:p w14:paraId="0E1DFE8D" w14:textId="77777777" w:rsidR="00E773FD" w:rsidRPr="00F11D34" w:rsidRDefault="00E773FD"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8754,0</w:t>
            </w:r>
          </w:p>
        </w:tc>
        <w:tc>
          <w:tcPr>
            <w:tcW w:w="798" w:type="dxa"/>
            <w:vAlign w:val="center"/>
            <w:hideMark/>
          </w:tcPr>
          <w:p w14:paraId="2FBB317A" w14:textId="77777777" w:rsidR="00E773FD" w:rsidRPr="00F11D34" w:rsidRDefault="00E773FD"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36,4</w:t>
            </w:r>
          </w:p>
        </w:tc>
        <w:tc>
          <w:tcPr>
            <w:tcW w:w="708" w:type="dxa"/>
            <w:vAlign w:val="center"/>
            <w:hideMark/>
          </w:tcPr>
          <w:p w14:paraId="3B65EF62" w14:textId="77777777" w:rsidR="00E773FD" w:rsidRPr="00F11D34" w:rsidRDefault="00E773FD"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35,6</w:t>
            </w:r>
          </w:p>
        </w:tc>
        <w:tc>
          <w:tcPr>
            <w:tcW w:w="758" w:type="dxa"/>
            <w:vAlign w:val="center"/>
            <w:hideMark/>
          </w:tcPr>
          <w:p w14:paraId="509D692D" w14:textId="77777777" w:rsidR="00E773FD" w:rsidRPr="00F11D34" w:rsidRDefault="00E773FD"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34,3</w:t>
            </w:r>
          </w:p>
        </w:tc>
        <w:tc>
          <w:tcPr>
            <w:tcW w:w="709" w:type="dxa"/>
            <w:vAlign w:val="center"/>
            <w:hideMark/>
          </w:tcPr>
          <w:p w14:paraId="41D8D6BD" w14:textId="77777777" w:rsidR="00E773FD" w:rsidRPr="00F11D34" w:rsidRDefault="00E773FD"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32,9</w:t>
            </w:r>
          </w:p>
        </w:tc>
        <w:tc>
          <w:tcPr>
            <w:tcW w:w="709" w:type="dxa"/>
            <w:vAlign w:val="center"/>
            <w:hideMark/>
          </w:tcPr>
          <w:p w14:paraId="36B2E003" w14:textId="77777777" w:rsidR="00E773FD" w:rsidRPr="00F11D34" w:rsidRDefault="00E773FD" w:rsidP="00F11D3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lang w:eastAsia="lv-LV"/>
              </w:rPr>
            </w:pPr>
            <w:r w:rsidRPr="00F11D34">
              <w:rPr>
                <w:rFonts w:ascii="Times New Roman" w:eastAsia="Times New Roman" w:hAnsi="Times New Roman" w:cs="Times New Roman"/>
                <w:color w:val="auto"/>
                <w:sz w:val="20"/>
                <w:lang w:eastAsia="lv-LV"/>
              </w:rPr>
              <w:t>32,1</w:t>
            </w:r>
          </w:p>
        </w:tc>
      </w:tr>
    </w:tbl>
    <w:p w14:paraId="066D42AF" w14:textId="77777777" w:rsidR="00F51615" w:rsidRDefault="00F51615" w:rsidP="00F51615">
      <w:pPr>
        <w:rPr>
          <w:rFonts w:ascii="Times New Roman" w:hAnsi="Times New Roman" w:cs="Times New Roman"/>
          <w:b/>
          <w:szCs w:val="24"/>
        </w:rPr>
      </w:pPr>
    </w:p>
    <w:p w14:paraId="34C9798A" w14:textId="483FC57A" w:rsidR="00F51615" w:rsidRPr="00C81719" w:rsidRDefault="00C81719" w:rsidP="00F51615">
      <w:pPr>
        <w:rPr>
          <w:rFonts w:ascii="Times New Roman" w:hAnsi="Times New Roman" w:cs="Times New Roman"/>
          <w:b/>
          <w:sz w:val="24"/>
          <w:szCs w:val="24"/>
        </w:rPr>
      </w:pPr>
      <w:r>
        <w:rPr>
          <w:rFonts w:ascii="Times New Roman" w:hAnsi="Times New Roman" w:cs="Times New Roman"/>
          <w:b/>
          <w:sz w:val="24"/>
          <w:szCs w:val="24"/>
        </w:rPr>
        <w:t>2c.</w:t>
      </w:r>
      <w:r w:rsidR="00F51615" w:rsidRPr="00C81719">
        <w:rPr>
          <w:rFonts w:ascii="Times New Roman" w:hAnsi="Times New Roman" w:cs="Times New Roman"/>
          <w:b/>
          <w:sz w:val="24"/>
          <w:szCs w:val="24"/>
        </w:rPr>
        <w:t>tabula. Izdevumi, kas tiek izslēgti no izdevumu kritērija</w:t>
      </w:r>
    </w:p>
    <w:tbl>
      <w:tblPr>
        <w:tblStyle w:val="GridTable6ColorfulAccent1"/>
        <w:tblW w:w="8931" w:type="dxa"/>
        <w:jc w:val="center"/>
        <w:tblLayout w:type="fixed"/>
        <w:tblLook w:val="04A0" w:firstRow="1" w:lastRow="0" w:firstColumn="1" w:lastColumn="0" w:noHBand="0" w:noVBand="1"/>
      </w:tblPr>
      <w:tblGrid>
        <w:gridCol w:w="3544"/>
        <w:gridCol w:w="992"/>
        <w:gridCol w:w="851"/>
        <w:gridCol w:w="851"/>
        <w:gridCol w:w="850"/>
        <w:gridCol w:w="850"/>
        <w:gridCol w:w="993"/>
      </w:tblGrid>
      <w:tr w:rsidR="003028D0" w:rsidRPr="003028D0" w14:paraId="7C4E8E17" w14:textId="77777777" w:rsidTr="003028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14:paraId="3048769B" w14:textId="77777777" w:rsidR="00232B17" w:rsidRPr="003028D0" w:rsidRDefault="00232B17" w:rsidP="00232B17">
            <w:pPr>
              <w:pStyle w:val="tabteksts"/>
              <w:jc w:val="center"/>
              <w:rPr>
                <w:b w:val="0"/>
                <w:color w:val="auto"/>
              </w:rPr>
            </w:pPr>
          </w:p>
        </w:tc>
        <w:tc>
          <w:tcPr>
            <w:tcW w:w="992" w:type="dxa"/>
          </w:tcPr>
          <w:p w14:paraId="66FAD91F" w14:textId="77777777" w:rsidR="00232B17" w:rsidRPr="003028D0" w:rsidRDefault="00232B17" w:rsidP="00232B17">
            <w:pPr>
              <w:pStyle w:val="tabteksts"/>
              <w:jc w:val="center"/>
              <w:cnfStyle w:val="100000000000" w:firstRow="1" w:lastRow="0" w:firstColumn="0" w:lastColumn="0" w:oddVBand="0" w:evenVBand="0" w:oddHBand="0" w:evenHBand="0" w:firstRowFirstColumn="0" w:firstRowLastColumn="0" w:lastRowFirstColumn="0" w:lastRowLastColumn="0"/>
              <w:rPr>
                <w:b w:val="0"/>
                <w:color w:val="auto"/>
              </w:rPr>
            </w:pPr>
            <w:r w:rsidRPr="003028D0">
              <w:rPr>
                <w:color w:val="auto"/>
              </w:rPr>
              <w:t>2014</w:t>
            </w:r>
          </w:p>
        </w:tc>
        <w:tc>
          <w:tcPr>
            <w:tcW w:w="851" w:type="dxa"/>
          </w:tcPr>
          <w:p w14:paraId="406858AC" w14:textId="77777777" w:rsidR="00232B17" w:rsidRPr="003028D0" w:rsidRDefault="00232B17" w:rsidP="00232B17">
            <w:pPr>
              <w:pStyle w:val="tabteksts"/>
              <w:jc w:val="center"/>
              <w:cnfStyle w:val="100000000000" w:firstRow="1" w:lastRow="0" w:firstColumn="0" w:lastColumn="0" w:oddVBand="0" w:evenVBand="0" w:oddHBand="0" w:evenHBand="0" w:firstRowFirstColumn="0" w:firstRowLastColumn="0" w:lastRowFirstColumn="0" w:lastRowLastColumn="0"/>
              <w:rPr>
                <w:b w:val="0"/>
                <w:color w:val="auto"/>
              </w:rPr>
            </w:pPr>
            <w:r w:rsidRPr="003028D0">
              <w:rPr>
                <w:color w:val="auto"/>
              </w:rPr>
              <w:t>2014</w:t>
            </w:r>
          </w:p>
        </w:tc>
        <w:tc>
          <w:tcPr>
            <w:tcW w:w="851" w:type="dxa"/>
          </w:tcPr>
          <w:p w14:paraId="7E1E933A" w14:textId="77777777" w:rsidR="00232B17" w:rsidRPr="003028D0" w:rsidRDefault="00232B17" w:rsidP="00232B17">
            <w:pPr>
              <w:pStyle w:val="tabteksts"/>
              <w:jc w:val="center"/>
              <w:cnfStyle w:val="100000000000" w:firstRow="1" w:lastRow="0" w:firstColumn="0" w:lastColumn="0" w:oddVBand="0" w:evenVBand="0" w:oddHBand="0" w:evenHBand="0" w:firstRowFirstColumn="0" w:firstRowLastColumn="0" w:lastRowFirstColumn="0" w:lastRowLastColumn="0"/>
              <w:rPr>
                <w:b w:val="0"/>
                <w:color w:val="auto"/>
              </w:rPr>
            </w:pPr>
            <w:r w:rsidRPr="003028D0">
              <w:rPr>
                <w:color w:val="auto"/>
              </w:rPr>
              <w:t>2015</w:t>
            </w:r>
          </w:p>
        </w:tc>
        <w:tc>
          <w:tcPr>
            <w:tcW w:w="850" w:type="dxa"/>
          </w:tcPr>
          <w:p w14:paraId="7603029E" w14:textId="77777777" w:rsidR="00232B17" w:rsidRPr="003028D0" w:rsidRDefault="00232B17" w:rsidP="00232B17">
            <w:pPr>
              <w:pStyle w:val="tabteksts"/>
              <w:jc w:val="center"/>
              <w:cnfStyle w:val="100000000000" w:firstRow="1" w:lastRow="0" w:firstColumn="0" w:lastColumn="0" w:oddVBand="0" w:evenVBand="0" w:oddHBand="0" w:evenHBand="0" w:firstRowFirstColumn="0" w:firstRowLastColumn="0" w:lastRowFirstColumn="0" w:lastRowLastColumn="0"/>
              <w:rPr>
                <w:b w:val="0"/>
                <w:color w:val="auto"/>
              </w:rPr>
            </w:pPr>
            <w:r w:rsidRPr="003028D0">
              <w:rPr>
                <w:color w:val="auto"/>
              </w:rPr>
              <w:t>2016</w:t>
            </w:r>
          </w:p>
        </w:tc>
        <w:tc>
          <w:tcPr>
            <w:tcW w:w="850" w:type="dxa"/>
          </w:tcPr>
          <w:p w14:paraId="6C884CA0" w14:textId="77777777" w:rsidR="00232B17" w:rsidRPr="003028D0" w:rsidRDefault="00232B17" w:rsidP="00232B17">
            <w:pPr>
              <w:pStyle w:val="tabteksts"/>
              <w:jc w:val="center"/>
              <w:cnfStyle w:val="100000000000" w:firstRow="1" w:lastRow="0" w:firstColumn="0" w:lastColumn="0" w:oddVBand="0" w:evenVBand="0" w:oddHBand="0" w:evenHBand="0" w:firstRowFirstColumn="0" w:firstRowLastColumn="0" w:lastRowFirstColumn="0" w:lastRowLastColumn="0"/>
              <w:rPr>
                <w:b w:val="0"/>
                <w:color w:val="auto"/>
              </w:rPr>
            </w:pPr>
            <w:r w:rsidRPr="003028D0">
              <w:rPr>
                <w:color w:val="auto"/>
              </w:rPr>
              <w:t>2017</w:t>
            </w:r>
          </w:p>
        </w:tc>
        <w:tc>
          <w:tcPr>
            <w:tcW w:w="993" w:type="dxa"/>
          </w:tcPr>
          <w:p w14:paraId="43F07F40" w14:textId="77777777" w:rsidR="00232B17" w:rsidRPr="003028D0" w:rsidRDefault="00232B17" w:rsidP="00232B17">
            <w:pPr>
              <w:pStyle w:val="tabteksts"/>
              <w:jc w:val="center"/>
              <w:cnfStyle w:val="100000000000" w:firstRow="1" w:lastRow="0" w:firstColumn="0" w:lastColumn="0" w:oddVBand="0" w:evenVBand="0" w:oddHBand="0" w:evenHBand="0" w:firstRowFirstColumn="0" w:firstRowLastColumn="0" w:lastRowFirstColumn="0" w:lastRowLastColumn="0"/>
              <w:rPr>
                <w:b w:val="0"/>
                <w:color w:val="auto"/>
              </w:rPr>
            </w:pPr>
            <w:r w:rsidRPr="003028D0">
              <w:rPr>
                <w:color w:val="auto"/>
              </w:rPr>
              <w:t>2018</w:t>
            </w:r>
          </w:p>
        </w:tc>
      </w:tr>
      <w:tr w:rsidR="003028D0" w:rsidRPr="003028D0" w14:paraId="3ABCDCAF" w14:textId="77777777" w:rsidTr="00302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14:paraId="6CAE125F" w14:textId="77777777" w:rsidR="00F51615" w:rsidRPr="003028D0" w:rsidRDefault="00F51615" w:rsidP="00232B17">
            <w:pPr>
              <w:pStyle w:val="tabteksts"/>
              <w:rPr>
                <w:color w:val="auto"/>
              </w:rPr>
            </w:pPr>
          </w:p>
        </w:tc>
        <w:tc>
          <w:tcPr>
            <w:tcW w:w="992" w:type="dxa"/>
          </w:tcPr>
          <w:p w14:paraId="6D03B6D4" w14:textId="77777777" w:rsidR="00F51615" w:rsidRPr="003028D0" w:rsidRDefault="00F51615" w:rsidP="00232B17">
            <w:pPr>
              <w:pStyle w:val="tabteksts"/>
              <w:cnfStyle w:val="000000100000" w:firstRow="0" w:lastRow="0" w:firstColumn="0" w:lastColumn="0" w:oddVBand="0" w:evenVBand="0" w:oddHBand="1" w:evenHBand="0" w:firstRowFirstColumn="0" w:firstRowLastColumn="0" w:lastRowFirstColumn="0" w:lastRowLastColumn="0"/>
              <w:rPr>
                <w:noProof/>
                <w:color w:val="auto"/>
              </w:rPr>
            </w:pPr>
            <w:r w:rsidRPr="003028D0">
              <w:rPr>
                <w:noProof/>
                <w:color w:val="auto"/>
              </w:rPr>
              <w:t>milj.</w:t>
            </w:r>
            <w:r w:rsidRPr="003028D0">
              <w:rPr>
                <w:i/>
                <w:noProof/>
                <w:color w:val="auto"/>
              </w:rPr>
              <w:t>euro</w:t>
            </w:r>
          </w:p>
        </w:tc>
        <w:tc>
          <w:tcPr>
            <w:tcW w:w="4395" w:type="dxa"/>
            <w:gridSpan w:val="5"/>
          </w:tcPr>
          <w:p w14:paraId="4289C7A5" w14:textId="77777777" w:rsidR="00F51615" w:rsidRPr="003028D0" w:rsidRDefault="00F51615" w:rsidP="00232B17">
            <w:pPr>
              <w:pStyle w:val="tabteksts"/>
              <w:jc w:val="center"/>
              <w:cnfStyle w:val="000000100000" w:firstRow="0" w:lastRow="0" w:firstColumn="0" w:lastColumn="0" w:oddVBand="0" w:evenVBand="0" w:oddHBand="1" w:evenHBand="0" w:firstRowFirstColumn="0" w:firstRowLastColumn="0" w:lastRowFirstColumn="0" w:lastRowLastColumn="0"/>
              <w:rPr>
                <w:color w:val="auto"/>
              </w:rPr>
            </w:pPr>
            <w:r w:rsidRPr="003028D0">
              <w:rPr>
                <w:color w:val="auto"/>
              </w:rPr>
              <w:t>% no IKP</w:t>
            </w:r>
          </w:p>
        </w:tc>
      </w:tr>
      <w:tr w:rsidR="003B4685" w:rsidRPr="003028D0" w14:paraId="0B31984C" w14:textId="77777777" w:rsidTr="003B4685">
        <w:trPr>
          <w:jc w:val="center"/>
        </w:trPr>
        <w:tc>
          <w:tcPr>
            <w:cnfStyle w:val="001000000000" w:firstRow="0" w:lastRow="0" w:firstColumn="1" w:lastColumn="0" w:oddVBand="0" w:evenVBand="0" w:oddHBand="0" w:evenHBand="0" w:firstRowFirstColumn="0" w:firstRowLastColumn="0" w:lastRowFirstColumn="0" w:lastRowLastColumn="0"/>
            <w:tcW w:w="3544" w:type="dxa"/>
          </w:tcPr>
          <w:p w14:paraId="7A6AF3F2" w14:textId="77777777" w:rsidR="003B4685" w:rsidRPr="003028D0" w:rsidRDefault="003B4685" w:rsidP="003B4685">
            <w:pPr>
              <w:pStyle w:val="tabteksts"/>
              <w:jc w:val="both"/>
              <w:rPr>
                <w:b w:val="0"/>
                <w:snapToGrid w:val="0"/>
                <w:color w:val="auto"/>
              </w:rPr>
            </w:pPr>
            <w:r w:rsidRPr="003028D0">
              <w:rPr>
                <w:b w:val="0"/>
                <w:snapToGrid w:val="0"/>
                <w:color w:val="auto"/>
              </w:rPr>
              <w:t>1. Izdevumi ārvalstu finanšu palīdzības projektiem,  kas atbilst saņemtajiem ārvalstu finanšu palīdzības ieņēmumiem</w:t>
            </w:r>
          </w:p>
        </w:tc>
        <w:tc>
          <w:tcPr>
            <w:tcW w:w="992" w:type="dxa"/>
            <w:vAlign w:val="center"/>
          </w:tcPr>
          <w:p w14:paraId="741D8AF7" w14:textId="4FBBAD73"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1210,7</w:t>
            </w:r>
          </w:p>
        </w:tc>
        <w:tc>
          <w:tcPr>
            <w:tcW w:w="851" w:type="dxa"/>
            <w:vAlign w:val="center"/>
          </w:tcPr>
          <w:p w14:paraId="2C690FE8" w14:textId="6DF9F7C1"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5,0</w:t>
            </w:r>
          </w:p>
        </w:tc>
        <w:tc>
          <w:tcPr>
            <w:tcW w:w="851" w:type="dxa"/>
            <w:vAlign w:val="center"/>
          </w:tcPr>
          <w:p w14:paraId="5593F998" w14:textId="29A2A54B"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4,6</w:t>
            </w:r>
          </w:p>
        </w:tc>
        <w:tc>
          <w:tcPr>
            <w:tcW w:w="850" w:type="dxa"/>
            <w:vAlign w:val="center"/>
          </w:tcPr>
          <w:p w14:paraId="28DB0C8B" w14:textId="5FAC0396"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3,8</w:t>
            </w:r>
          </w:p>
        </w:tc>
        <w:tc>
          <w:tcPr>
            <w:tcW w:w="850" w:type="dxa"/>
            <w:vAlign w:val="center"/>
          </w:tcPr>
          <w:p w14:paraId="767CFF8B" w14:textId="65128D6C"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3,8</w:t>
            </w:r>
          </w:p>
        </w:tc>
        <w:tc>
          <w:tcPr>
            <w:tcW w:w="993" w:type="dxa"/>
            <w:vAlign w:val="center"/>
          </w:tcPr>
          <w:p w14:paraId="3464698A" w14:textId="13C852B6"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3,7</w:t>
            </w:r>
          </w:p>
        </w:tc>
      </w:tr>
      <w:tr w:rsidR="003B4685" w:rsidRPr="003028D0" w14:paraId="67A6C4B1" w14:textId="77777777" w:rsidTr="003B46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14:paraId="08AC41D4" w14:textId="77777777" w:rsidR="003B4685" w:rsidRPr="003028D0" w:rsidRDefault="003B4685" w:rsidP="003B4685">
            <w:pPr>
              <w:pStyle w:val="tabteksts"/>
              <w:jc w:val="both"/>
              <w:rPr>
                <w:b w:val="0"/>
                <w:snapToGrid w:val="0"/>
                <w:color w:val="auto"/>
              </w:rPr>
            </w:pPr>
            <w:r w:rsidRPr="003028D0">
              <w:rPr>
                <w:b w:val="0"/>
                <w:snapToGrid w:val="0"/>
                <w:color w:val="auto"/>
              </w:rPr>
              <w:t>2. Cikliskie izdevumi bezdarbnieku pabalstiem</w:t>
            </w:r>
          </w:p>
        </w:tc>
        <w:tc>
          <w:tcPr>
            <w:tcW w:w="992" w:type="dxa"/>
            <w:vAlign w:val="center"/>
          </w:tcPr>
          <w:p w14:paraId="5366078E"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c>
          <w:tcPr>
            <w:tcW w:w="851" w:type="dxa"/>
            <w:vAlign w:val="center"/>
          </w:tcPr>
          <w:p w14:paraId="0C3CAC81"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c>
          <w:tcPr>
            <w:tcW w:w="851" w:type="dxa"/>
            <w:vAlign w:val="center"/>
          </w:tcPr>
          <w:p w14:paraId="0EB28325"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c>
          <w:tcPr>
            <w:tcW w:w="850" w:type="dxa"/>
            <w:vAlign w:val="center"/>
          </w:tcPr>
          <w:p w14:paraId="715DD158"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c>
          <w:tcPr>
            <w:tcW w:w="850" w:type="dxa"/>
            <w:vAlign w:val="center"/>
          </w:tcPr>
          <w:p w14:paraId="373511EF"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c>
          <w:tcPr>
            <w:tcW w:w="993" w:type="dxa"/>
            <w:vAlign w:val="center"/>
          </w:tcPr>
          <w:p w14:paraId="09FDC622"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r>
      <w:tr w:rsidR="003B4685" w:rsidRPr="003028D0" w14:paraId="5E02AB83" w14:textId="77777777" w:rsidTr="003B4685">
        <w:trPr>
          <w:jc w:val="center"/>
        </w:trPr>
        <w:tc>
          <w:tcPr>
            <w:cnfStyle w:val="001000000000" w:firstRow="0" w:lastRow="0" w:firstColumn="1" w:lastColumn="0" w:oddVBand="0" w:evenVBand="0" w:oddHBand="0" w:evenHBand="0" w:firstRowFirstColumn="0" w:firstRowLastColumn="0" w:lastRowFirstColumn="0" w:lastRowLastColumn="0"/>
            <w:tcW w:w="3544" w:type="dxa"/>
          </w:tcPr>
          <w:p w14:paraId="03D498F0" w14:textId="77777777" w:rsidR="003B4685" w:rsidRPr="003028D0" w:rsidRDefault="003B4685" w:rsidP="003B4685">
            <w:pPr>
              <w:pStyle w:val="tabteksts"/>
              <w:jc w:val="both"/>
              <w:rPr>
                <w:b w:val="0"/>
                <w:snapToGrid w:val="0"/>
                <w:color w:val="auto"/>
              </w:rPr>
            </w:pPr>
            <w:r w:rsidRPr="003028D0">
              <w:rPr>
                <w:b w:val="0"/>
                <w:snapToGrid w:val="0"/>
                <w:color w:val="auto"/>
              </w:rPr>
              <w:t>3. Diskrecionāri ieņēmumu pasākumi</w:t>
            </w:r>
          </w:p>
        </w:tc>
        <w:tc>
          <w:tcPr>
            <w:tcW w:w="992" w:type="dxa"/>
            <w:vAlign w:val="center"/>
          </w:tcPr>
          <w:p w14:paraId="0DFBF27A" w14:textId="0719C7DE"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2,5</w:t>
            </w:r>
          </w:p>
        </w:tc>
        <w:tc>
          <w:tcPr>
            <w:tcW w:w="851" w:type="dxa"/>
            <w:vAlign w:val="center"/>
          </w:tcPr>
          <w:p w14:paraId="1591EA25" w14:textId="03154886"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0,0</w:t>
            </w:r>
          </w:p>
        </w:tc>
        <w:tc>
          <w:tcPr>
            <w:tcW w:w="851" w:type="dxa"/>
            <w:vAlign w:val="center"/>
          </w:tcPr>
          <w:p w14:paraId="19D04D48" w14:textId="628BEAFC"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0,3</w:t>
            </w:r>
          </w:p>
        </w:tc>
        <w:tc>
          <w:tcPr>
            <w:tcW w:w="850" w:type="dxa"/>
            <w:vAlign w:val="center"/>
          </w:tcPr>
          <w:p w14:paraId="673193B4" w14:textId="2CC2A921"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0,7</w:t>
            </w:r>
          </w:p>
        </w:tc>
        <w:tc>
          <w:tcPr>
            <w:tcW w:w="850" w:type="dxa"/>
            <w:vAlign w:val="center"/>
          </w:tcPr>
          <w:p w14:paraId="73FC4458" w14:textId="42DF30D4"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0,1</w:t>
            </w:r>
          </w:p>
        </w:tc>
        <w:tc>
          <w:tcPr>
            <w:tcW w:w="993" w:type="dxa"/>
            <w:vAlign w:val="center"/>
          </w:tcPr>
          <w:p w14:paraId="2FD6C9A6" w14:textId="076106B1" w:rsidR="003B4685" w:rsidRPr="003028D0" w:rsidRDefault="003B4685" w:rsidP="003B4685">
            <w:pPr>
              <w:pStyle w:val="tabteksts"/>
              <w:jc w:val="right"/>
              <w:cnfStyle w:val="000000000000" w:firstRow="0" w:lastRow="0" w:firstColumn="0" w:lastColumn="0" w:oddVBand="0" w:evenVBand="0" w:oddHBand="0" w:evenHBand="0" w:firstRowFirstColumn="0" w:firstRowLastColumn="0" w:lastRowFirstColumn="0" w:lastRowLastColumn="0"/>
              <w:rPr>
                <w:snapToGrid w:val="0"/>
                <w:color w:val="auto"/>
              </w:rPr>
            </w:pPr>
            <w:r w:rsidRPr="001B6A4A">
              <w:rPr>
                <w:color w:val="000000"/>
                <w:szCs w:val="22"/>
              </w:rPr>
              <w:t>0,1</w:t>
            </w:r>
          </w:p>
        </w:tc>
      </w:tr>
      <w:tr w:rsidR="003B4685" w:rsidRPr="003028D0" w14:paraId="5ED603A9" w14:textId="77777777" w:rsidTr="003B46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14:paraId="277AA200" w14:textId="77777777" w:rsidR="003B4685" w:rsidRPr="003028D0" w:rsidRDefault="003B4685" w:rsidP="003B4685">
            <w:pPr>
              <w:pStyle w:val="tabteksts"/>
              <w:jc w:val="both"/>
              <w:rPr>
                <w:b w:val="0"/>
                <w:snapToGrid w:val="0"/>
                <w:color w:val="auto"/>
              </w:rPr>
            </w:pPr>
            <w:r w:rsidRPr="003028D0">
              <w:rPr>
                <w:b w:val="0"/>
                <w:snapToGrid w:val="0"/>
                <w:color w:val="auto"/>
              </w:rPr>
              <w:t xml:space="preserve">4. </w:t>
            </w:r>
            <w:r w:rsidRPr="003028D0">
              <w:rPr>
                <w:b w:val="0"/>
                <w:noProof/>
                <w:snapToGrid w:val="0"/>
                <w:color w:val="auto"/>
              </w:rPr>
              <w:t>Ieņēmumu palielinājums, kas apstiprināts ar likumu</w:t>
            </w:r>
          </w:p>
        </w:tc>
        <w:tc>
          <w:tcPr>
            <w:tcW w:w="992" w:type="dxa"/>
            <w:vAlign w:val="center"/>
          </w:tcPr>
          <w:p w14:paraId="26A59293"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c>
          <w:tcPr>
            <w:tcW w:w="851" w:type="dxa"/>
            <w:vAlign w:val="center"/>
          </w:tcPr>
          <w:p w14:paraId="38F4CA33"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c>
          <w:tcPr>
            <w:tcW w:w="851" w:type="dxa"/>
            <w:vAlign w:val="center"/>
          </w:tcPr>
          <w:p w14:paraId="21FDD43B"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c>
          <w:tcPr>
            <w:tcW w:w="850" w:type="dxa"/>
            <w:vAlign w:val="center"/>
          </w:tcPr>
          <w:p w14:paraId="21C39CC6"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c>
          <w:tcPr>
            <w:tcW w:w="850" w:type="dxa"/>
            <w:vAlign w:val="center"/>
          </w:tcPr>
          <w:p w14:paraId="68621A64"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c>
          <w:tcPr>
            <w:tcW w:w="993" w:type="dxa"/>
            <w:vAlign w:val="center"/>
          </w:tcPr>
          <w:p w14:paraId="169B4C97" w14:textId="77777777" w:rsidR="003B4685" w:rsidRPr="003028D0" w:rsidRDefault="003B4685" w:rsidP="003B4685">
            <w:pPr>
              <w:pStyle w:val="tabteksts"/>
              <w:jc w:val="right"/>
              <w:cnfStyle w:val="000000100000" w:firstRow="0" w:lastRow="0" w:firstColumn="0" w:lastColumn="0" w:oddVBand="0" w:evenVBand="0" w:oddHBand="1" w:evenHBand="0" w:firstRowFirstColumn="0" w:firstRowLastColumn="0" w:lastRowFirstColumn="0" w:lastRowLastColumn="0"/>
              <w:rPr>
                <w:snapToGrid w:val="0"/>
                <w:color w:val="auto"/>
              </w:rPr>
            </w:pPr>
          </w:p>
        </w:tc>
      </w:tr>
    </w:tbl>
    <w:p w14:paraId="53575D2F" w14:textId="77777777" w:rsidR="00F51615" w:rsidRPr="00F51615" w:rsidRDefault="00F51615" w:rsidP="00F51615">
      <w:pPr>
        <w:ind w:hanging="142"/>
        <w:rPr>
          <w:rFonts w:ascii="Times New Roman" w:hAnsi="Times New Roman" w:cs="Times New Roman"/>
          <w:b/>
          <w:szCs w:val="24"/>
        </w:rPr>
      </w:pPr>
    </w:p>
    <w:p w14:paraId="599EB867" w14:textId="5C4D5072" w:rsidR="00E773FD" w:rsidRPr="00C81719" w:rsidRDefault="00C81719" w:rsidP="003D38BE">
      <w:pPr>
        <w:rPr>
          <w:sz w:val="24"/>
        </w:rPr>
      </w:pPr>
      <w:r>
        <w:rPr>
          <w:rFonts w:ascii="Times New Roman" w:hAnsi="Times New Roman" w:cs="Times New Roman"/>
          <w:b/>
          <w:sz w:val="24"/>
          <w:szCs w:val="24"/>
        </w:rPr>
        <w:t>3.</w:t>
      </w:r>
      <w:r w:rsidR="00F51615" w:rsidRPr="00C81719">
        <w:rPr>
          <w:rFonts w:ascii="Times New Roman" w:hAnsi="Times New Roman" w:cs="Times New Roman"/>
          <w:b/>
          <w:sz w:val="24"/>
          <w:szCs w:val="24"/>
        </w:rPr>
        <w:t>tabula. Vispārējās valdības izdevumi funkciju sadalījumā</w:t>
      </w:r>
    </w:p>
    <w:tbl>
      <w:tblPr>
        <w:tblStyle w:val="GridTable6ColorfulAccent1"/>
        <w:tblW w:w="0" w:type="auto"/>
        <w:tblLayout w:type="fixed"/>
        <w:tblLook w:val="04A0" w:firstRow="1" w:lastRow="0" w:firstColumn="1" w:lastColumn="0" w:noHBand="0" w:noVBand="1"/>
      </w:tblPr>
      <w:tblGrid>
        <w:gridCol w:w="4029"/>
        <w:gridCol w:w="952"/>
        <w:gridCol w:w="797"/>
        <w:gridCol w:w="798"/>
      </w:tblGrid>
      <w:tr w:rsidR="003028D0" w:rsidRPr="003028D0" w14:paraId="273238D6" w14:textId="77777777" w:rsidTr="00302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7BE8C44A" w14:textId="77777777" w:rsidR="00F51615" w:rsidRPr="003028D0" w:rsidRDefault="00F51615" w:rsidP="003028D0">
            <w:pPr>
              <w:pStyle w:val="tabteksts"/>
              <w:jc w:val="center"/>
              <w:rPr>
                <w:color w:val="auto"/>
              </w:rPr>
            </w:pPr>
            <w:r w:rsidRPr="003028D0">
              <w:rPr>
                <w:color w:val="auto"/>
              </w:rPr>
              <w:t>% no IKP</w:t>
            </w:r>
          </w:p>
        </w:tc>
        <w:tc>
          <w:tcPr>
            <w:tcW w:w="952" w:type="dxa"/>
            <w:vAlign w:val="center"/>
          </w:tcPr>
          <w:p w14:paraId="2BBF4D8F" w14:textId="77777777" w:rsidR="00F51615" w:rsidRPr="003028D0" w:rsidRDefault="00F51615" w:rsidP="003028D0">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3028D0">
              <w:rPr>
                <w:color w:val="auto"/>
              </w:rPr>
              <w:t>COFOG</w:t>
            </w:r>
          </w:p>
          <w:p w14:paraId="650F3865" w14:textId="77777777" w:rsidR="00F51615" w:rsidRPr="003028D0" w:rsidRDefault="00F51615" w:rsidP="003028D0">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3028D0">
              <w:rPr>
                <w:color w:val="auto"/>
              </w:rPr>
              <w:t>kods</w:t>
            </w:r>
          </w:p>
        </w:tc>
        <w:tc>
          <w:tcPr>
            <w:tcW w:w="797" w:type="dxa"/>
            <w:vAlign w:val="center"/>
          </w:tcPr>
          <w:p w14:paraId="13F3658B" w14:textId="77777777" w:rsidR="00F51615" w:rsidRPr="003028D0" w:rsidRDefault="00232B17" w:rsidP="003028D0">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3028D0">
              <w:rPr>
                <w:color w:val="auto"/>
              </w:rPr>
              <w:t>2013</w:t>
            </w:r>
          </w:p>
        </w:tc>
        <w:tc>
          <w:tcPr>
            <w:tcW w:w="798" w:type="dxa"/>
            <w:vAlign w:val="center"/>
          </w:tcPr>
          <w:p w14:paraId="7B8B39B8" w14:textId="77777777" w:rsidR="00F51615" w:rsidRPr="003028D0" w:rsidRDefault="00232B17" w:rsidP="003028D0">
            <w:pPr>
              <w:pStyle w:val="tabteksts"/>
              <w:jc w:val="center"/>
              <w:cnfStyle w:val="100000000000" w:firstRow="1" w:lastRow="0" w:firstColumn="0" w:lastColumn="0" w:oddVBand="0" w:evenVBand="0" w:oddHBand="0" w:evenHBand="0" w:firstRowFirstColumn="0" w:firstRowLastColumn="0" w:lastRowFirstColumn="0" w:lastRowLastColumn="0"/>
              <w:rPr>
                <w:color w:val="auto"/>
              </w:rPr>
            </w:pPr>
            <w:r w:rsidRPr="003028D0">
              <w:rPr>
                <w:color w:val="auto"/>
              </w:rPr>
              <w:t>2018</w:t>
            </w:r>
          </w:p>
        </w:tc>
      </w:tr>
      <w:tr w:rsidR="003028D0" w:rsidRPr="003028D0" w14:paraId="2EE26A1C" w14:textId="77777777" w:rsidTr="0030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9" w:type="dxa"/>
          </w:tcPr>
          <w:p w14:paraId="4CBB4049" w14:textId="77777777" w:rsidR="003D38BE" w:rsidRPr="003028D0" w:rsidRDefault="003D38BE" w:rsidP="003D38BE">
            <w:pPr>
              <w:pStyle w:val="tabteksts"/>
              <w:rPr>
                <w:b w:val="0"/>
                <w:snapToGrid w:val="0"/>
                <w:color w:val="auto"/>
              </w:rPr>
            </w:pPr>
            <w:r w:rsidRPr="003028D0">
              <w:rPr>
                <w:b w:val="0"/>
                <w:snapToGrid w:val="0"/>
                <w:color w:val="auto"/>
              </w:rPr>
              <w:t>1. Vispārējie sabiedriskie pakalpojumi</w:t>
            </w:r>
          </w:p>
        </w:tc>
        <w:tc>
          <w:tcPr>
            <w:tcW w:w="952" w:type="dxa"/>
            <w:vAlign w:val="center"/>
          </w:tcPr>
          <w:p w14:paraId="469E027E" w14:textId="77777777" w:rsidR="003D38BE" w:rsidRPr="003028D0" w:rsidRDefault="003D38BE" w:rsidP="003028D0">
            <w:pPr>
              <w:pStyle w:val="tabteksts"/>
              <w:jc w:val="center"/>
              <w:cnfStyle w:val="000000100000" w:firstRow="0" w:lastRow="0" w:firstColumn="0" w:lastColumn="0" w:oddVBand="0" w:evenVBand="0" w:oddHBand="1" w:evenHBand="0" w:firstRowFirstColumn="0" w:firstRowLastColumn="0" w:lastRowFirstColumn="0" w:lastRowLastColumn="0"/>
              <w:rPr>
                <w:snapToGrid w:val="0"/>
                <w:color w:val="auto"/>
              </w:rPr>
            </w:pPr>
            <w:r w:rsidRPr="003028D0">
              <w:rPr>
                <w:snapToGrid w:val="0"/>
                <w:color w:val="auto"/>
              </w:rPr>
              <w:t>1</w:t>
            </w:r>
          </w:p>
        </w:tc>
        <w:tc>
          <w:tcPr>
            <w:tcW w:w="797" w:type="dxa"/>
          </w:tcPr>
          <w:p w14:paraId="36D26AAC"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4,6</w:t>
            </w:r>
          </w:p>
        </w:tc>
        <w:tc>
          <w:tcPr>
            <w:tcW w:w="798" w:type="dxa"/>
          </w:tcPr>
          <w:p w14:paraId="41532C97"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4,2</w:t>
            </w:r>
          </w:p>
        </w:tc>
      </w:tr>
      <w:tr w:rsidR="003028D0" w:rsidRPr="003028D0" w14:paraId="700EBE83" w14:textId="77777777" w:rsidTr="003028D0">
        <w:tc>
          <w:tcPr>
            <w:cnfStyle w:val="001000000000" w:firstRow="0" w:lastRow="0" w:firstColumn="1" w:lastColumn="0" w:oddVBand="0" w:evenVBand="0" w:oddHBand="0" w:evenHBand="0" w:firstRowFirstColumn="0" w:firstRowLastColumn="0" w:lastRowFirstColumn="0" w:lastRowLastColumn="0"/>
            <w:tcW w:w="4029" w:type="dxa"/>
          </w:tcPr>
          <w:p w14:paraId="3F0D7210" w14:textId="77777777" w:rsidR="003D38BE" w:rsidRPr="003028D0" w:rsidRDefault="003D38BE" w:rsidP="003D38BE">
            <w:pPr>
              <w:pStyle w:val="tabteksts"/>
              <w:rPr>
                <w:b w:val="0"/>
                <w:snapToGrid w:val="0"/>
                <w:color w:val="auto"/>
              </w:rPr>
            </w:pPr>
            <w:r w:rsidRPr="003028D0">
              <w:rPr>
                <w:b w:val="0"/>
                <w:snapToGrid w:val="0"/>
                <w:color w:val="auto"/>
              </w:rPr>
              <w:t>2. Aizsardzība</w:t>
            </w:r>
          </w:p>
        </w:tc>
        <w:tc>
          <w:tcPr>
            <w:tcW w:w="952" w:type="dxa"/>
            <w:vAlign w:val="center"/>
          </w:tcPr>
          <w:p w14:paraId="01DDAB01" w14:textId="77777777" w:rsidR="003D38BE" w:rsidRPr="003028D0" w:rsidRDefault="003D38BE" w:rsidP="003028D0">
            <w:pPr>
              <w:pStyle w:val="tabteksts"/>
              <w:jc w:val="center"/>
              <w:cnfStyle w:val="000000000000" w:firstRow="0" w:lastRow="0" w:firstColumn="0" w:lastColumn="0" w:oddVBand="0" w:evenVBand="0" w:oddHBand="0" w:evenHBand="0" w:firstRowFirstColumn="0" w:firstRowLastColumn="0" w:lastRowFirstColumn="0" w:lastRowLastColumn="0"/>
              <w:rPr>
                <w:snapToGrid w:val="0"/>
                <w:color w:val="auto"/>
              </w:rPr>
            </w:pPr>
            <w:r w:rsidRPr="003028D0">
              <w:rPr>
                <w:snapToGrid w:val="0"/>
                <w:color w:val="auto"/>
              </w:rPr>
              <w:t>2</w:t>
            </w:r>
          </w:p>
        </w:tc>
        <w:tc>
          <w:tcPr>
            <w:tcW w:w="797" w:type="dxa"/>
          </w:tcPr>
          <w:p w14:paraId="2FF5FB03" w14:textId="77777777" w:rsidR="003D38BE" w:rsidRPr="003028D0" w:rsidRDefault="003D38BE" w:rsidP="003D38B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0,9</w:t>
            </w:r>
          </w:p>
        </w:tc>
        <w:tc>
          <w:tcPr>
            <w:tcW w:w="798" w:type="dxa"/>
          </w:tcPr>
          <w:p w14:paraId="0AAB7E08" w14:textId="77777777" w:rsidR="003D38BE" w:rsidRPr="003028D0" w:rsidRDefault="003D38BE" w:rsidP="003D38B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2,0</w:t>
            </w:r>
          </w:p>
        </w:tc>
      </w:tr>
      <w:tr w:rsidR="003028D0" w:rsidRPr="003028D0" w14:paraId="608B6F2C" w14:textId="77777777" w:rsidTr="0030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9" w:type="dxa"/>
          </w:tcPr>
          <w:p w14:paraId="00AF9DFB" w14:textId="77777777" w:rsidR="003D38BE" w:rsidRPr="003028D0" w:rsidRDefault="003D38BE" w:rsidP="003D38BE">
            <w:pPr>
              <w:pStyle w:val="tabteksts"/>
              <w:rPr>
                <w:b w:val="0"/>
                <w:snapToGrid w:val="0"/>
                <w:color w:val="auto"/>
              </w:rPr>
            </w:pPr>
            <w:r w:rsidRPr="003028D0">
              <w:rPr>
                <w:b w:val="0"/>
                <w:snapToGrid w:val="0"/>
                <w:color w:val="auto"/>
              </w:rPr>
              <w:t>3. Sabiedriskā kārtība un drošība</w:t>
            </w:r>
          </w:p>
        </w:tc>
        <w:tc>
          <w:tcPr>
            <w:tcW w:w="952" w:type="dxa"/>
            <w:vAlign w:val="center"/>
          </w:tcPr>
          <w:p w14:paraId="6C4C595B" w14:textId="77777777" w:rsidR="003D38BE" w:rsidRPr="003028D0" w:rsidRDefault="003D38BE" w:rsidP="003028D0">
            <w:pPr>
              <w:pStyle w:val="tabteksts"/>
              <w:jc w:val="center"/>
              <w:cnfStyle w:val="000000100000" w:firstRow="0" w:lastRow="0" w:firstColumn="0" w:lastColumn="0" w:oddVBand="0" w:evenVBand="0" w:oddHBand="1" w:evenHBand="0" w:firstRowFirstColumn="0" w:firstRowLastColumn="0" w:lastRowFirstColumn="0" w:lastRowLastColumn="0"/>
              <w:rPr>
                <w:snapToGrid w:val="0"/>
                <w:color w:val="auto"/>
              </w:rPr>
            </w:pPr>
            <w:r w:rsidRPr="003028D0">
              <w:rPr>
                <w:snapToGrid w:val="0"/>
                <w:color w:val="auto"/>
              </w:rPr>
              <w:t>3</w:t>
            </w:r>
          </w:p>
        </w:tc>
        <w:tc>
          <w:tcPr>
            <w:tcW w:w="797" w:type="dxa"/>
          </w:tcPr>
          <w:p w14:paraId="480CFA96"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1,9</w:t>
            </w:r>
          </w:p>
        </w:tc>
        <w:tc>
          <w:tcPr>
            <w:tcW w:w="798" w:type="dxa"/>
          </w:tcPr>
          <w:p w14:paraId="34F61B8B"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1,7</w:t>
            </w:r>
          </w:p>
        </w:tc>
      </w:tr>
      <w:tr w:rsidR="003028D0" w:rsidRPr="003028D0" w14:paraId="417EC04E" w14:textId="77777777" w:rsidTr="003028D0">
        <w:tc>
          <w:tcPr>
            <w:cnfStyle w:val="001000000000" w:firstRow="0" w:lastRow="0" w:firstColumn="1" w:lastColumn="0" w:oddVBand="0" w:evenVBand="0" w:oddHBand="0" w:evenHBand="0" w:firstRowFirstColumn="0" w:firstRowLastColumn="0" w:lastRowFirstColumn="0" w:lastRowLastColumn="0"/>
            <w:tcW w:w="4029" w:type="dxa"/>
          </w:tcPr>
          <w:p w14:paraId="6034D65B" w14:textId="77777777" w:rsidR="003D38BE" w:rsidRPr="003028D0" w:rsidRDefault="003D38BE" w:rsidP="003D38BE">
            <w:pPr>
              <w:pStyle w:val="tabteksts"/>
              <w:rPr>
                <w:b w:val="0"/>
                <w:snapToGrid w:val="0"/>
                <w:color w:val="auto"/>
              </w:rPr>
            </w:pPr>
            <w:r w:rsidRPr="003028D0">
              <w:rPr>
                <w:b w:val="0"/>
                <w:snapToGrid w:val="0"/>
                <w:color w:val="auto"/>
              </w:rPr>
              <w:t>4. Ekonomiskā darbība</w:t>
            </w:r>
          </w:p>
        </w:tc>
        <w:tc>
          <w:tcPr>
            <w:tcW w:w="952" w:type="dxa"/>
            <w:vAlign w:val="center"/>
          </w:tcPr>
          <w:p w14:paraId="6610460F" w14:textId="77777777" w:rsidR="003D38BE" w:rsidRPr="003028D0" w:rsidRDefault="003D38BE" w:rsidP="003028D0">
            <w:pPr>
              <w:pStyle w:val="tabteksts"/>
              <w:jc w:val="center"/>
              <w:cnfStyle w:val="000000000000" w:firstRow="0" w:lastRow="0" w:firstColumn="0" w:lastColumn="0" w:oddVBand="0" w:evenVBand="0" w:oddHBand="0" w:evenHBand="0" w:firstRowFirstColumn="0" w:firstRowLastColumn="0" w:lastRowFirstColumn="0" w:lastRowLastColumn="0"/>
              <w:rPr>
                <w:snapToGrid w:val="0"/>
                <w:color w:val="auto"/>
              </w:rPr>
            </w:pPr>
            <w:r w:rsidRPr="003028D0">
              <w:rPr>
                <w:snapToGrid w:val="0"/>
                <w:color w:val="auto"/>
              </w:rPr>
              <w:t>4</w:t>
            </w:r>
          </w:p>
        </w:tc>
        <w:tc>
          <w:tcPr>
            <w:tcW w:w="797" w:type="dxa"/>
          </w:tcPr>
          <w:p w14:paraId="195CA7F6" w14:textId="77777777" w:rsidR="003D38BE" w:rsidRPr="003028D0" w:rsidRDefault="003D38BE" w:rsidP="003D38B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4,7</w:t>
            </w:r>
          </w:p>
        </w:tc>
        <w:tc>
          <w:tcPr>
            <w:tcW w:w="798" w:type="dxa"/>
          </w:tcPr>
          <w:p w14:paraId="12A43B2C" w14:textId="77777777" w:rsidR="003D38BE" w:rsidRPr="003028D0" w:rsidRDefault="003D38BE" w:rsidP="003D38B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4,3</w:t>
            </w:r>
          </w:p>
        </w:tc>
      </w:tr>
      <w:tr w:rsidR="003028D0" w:rsidRPr="003028D0" w14:paraId="51F99EF3" w14:textId="77777777" w:rsidTr="0030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9" w:type="dxa"/>
          </w:tcPr>
          <w:p w14:paraId="36A44874" w14:textId="77777777" w:rsidR="003D38BE" w:rsidRPr="003028D0" w:rsidRDefault="003D38BE" w:rsidP="003D38BE">
            <w:pPr>
              <w:pStyle w:val="tabteksts"/>
              <w:rPr>
                <w:b w:val="0"/>
                <w:snapToGrid w:val="0"/>
                <w:color w:val="auto"/>
              </w:rPr>
            </w:pPr>
            <w:r w:rsidRPr="003028D0">
              <w:rPr>
                <w:b w:val="0"/>
                <w:snapToGrid w:val="0"/>
                <w:color w:val="auto"/>
              </w:rPr>
              <w:t>5. Vides aizsardzība</w:t>
            </w:r>
          </w:p>
        </w:tc>
        <w:tc>
          <w:tcPr>
            <w:tcW w:w="952" w:type="dxa"/>
            <w:vAlign w:val="center"/>
          </w:tcPr>
          <w:p w14:paraId="577C54FE" w14:textId="77777777" w:rsidR="003D38BE" w:rsidRPr="003028D0" w:rsidRDefault="003D38BE" w:rsidP="003028D0">
            <w:pPr>
              <w:pStyle w:val="tabteksts"/>
              <w:jc w:val="center"/>
              <w:cnfStyle w:val="000000100000" w:firstRow="0" w:lastRow="0" w:firstColumn="0" w:lastColumn="0" w:oddVBand="0" w:evenVBand="0" w:oddHBand="1" w:evenHBand="0" w:firstRowFirstColumn="0" w:firstRowLastColumn="0" w:lastRowFirstColumn="0" w:lastRowLastColumn="0"/>
              <w:rPr>
                <w:color w:val="auto"/>
              </w:rPr>
            </w:pPr>
            <w:r w:rsidRPr="003028D0">
              <w:rPr>
                <w:color w:val="auto"/>
              </w:rPr>
              <w:t>5</w:t>
            </w:r>
          </w:p>
        </w:tc>
        <w:tc>
          <w:tcPr>
            <w:tcW w:w="797" w:type="dxa"/>
          </w:tcPr>
          <w:p w14:paraId="57D57FB8"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0,7</w:t>
            </w:r>
          </w:p>
        </w:tc>
        <w:tc>
          <w:tcPr>
            <w:tcW w:w="798" w:type="dxa"/>
          </w:tcPr>
          <w:p w14:paraId="3491A1D1"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0,6</w:t>
            </w:r>
          </w:p>
        </w:tc>
      </w:tr>
      <w:tr w:rsidR="003028D0" w:rsidRPr="003028D0" w14:paraId="62DDB97E" w14:textId="77777777" w:rsidTr="003028D0">
        <w:tc>
          <w:tcPr>
            <w:cnfStyle w:val="001000000000" w:firstRow="0" w:lastRow="0" w:firstColumn="1" w:lastColumn="0" w:oddVBand="0" w:evenVBand="0" w:oddHBand="0" w:evenHBand="0" w:firstRowFirstColumn="0" w:firstRowLastColumn="0" w:lastRowFirstColumn="0" w:lastRowLastColumn="0"/>
            <w:tcW w:w="4029" w:type="dxa"/>
          </w:tcPr>
          <w:p w14:paraId="7053A9D0" w14:textId="77777777" w:rsidR="003D38BE" w:rsidRPr="003028D0" w:rsidRDefault="003D38BE" w:rsidP="003D38BE">
            <w:pPr>
              <w:pStyle w:val="tabteksts"/>
              <w:rPr>
                <w:b w:val="0"/>
                <w:snapToGrid w:val="0"/>
                <w:color w:val="auto"/>
              </w:rPr>
            </w:pPr>
            <w:r w:rsidRPr="003028D0">
              <w:rPr>
                <w:b w:val="0"/>
                <w:snapToGrid w:val="0"/>
                <w:color w:val="auto"/>
              </w:rPr>
              <w:t>6. Mājoklis un komunālā saimniecība</w:t>
            </w:r>
          </w:p>
        </w:tc>
        <w:tc>
          <w:tcPr>
            <w:tcW w:w="952" w:type="dxa"/>
            <w:vAlign w:val="center"/>
          </w:tcPr>
          <w:p w14:paraId="54A69316" w14:textId="77777777" w:rsidR="003D38BE" w:rsidRPr="003028D0" w:rsidRDefault="003D38BE" w:rsidP="003028D0">
            <w:pPr>
              <w:pStyle w:val="tabteksts"/>
              <w:jc w:val="center"/>
              <w:cnfStyle w:val="000000000000" w:firstRow="0" w:lastRow="0" w:firstColumn="0" w:lastColumn="0" w:oddVBand="0" w:evenVBand="0" w:oddHBand="0" w:evenHBand="0" w:firstRowFirstColumn="0" w:firstRowLastColumn="0" w:lastRowFirstColumn="0" w:lastRowLastColumn="0"/>
              <w:rPr>
                <w:color w:val="auto"/>
              </w:rPr>
            </w:pPr>
            <w:r w:rsidRPr="003028D0">
              <w:rPr>
                <w:color w:val="auto"/>
              </w:rPr>
              <w:t>6</w:t>
            </w:r>
          </w:p>
        </w:tc>
        <w:tc>
          <w:tcPr>
            <w:tcW w:w="797" w:type="dxa"/>
          </w:tcPr>
          <w:p w14:paraId="15659D05" w14:textId="77777777" w:rsidR="003D38BE" w:rsidRPr="003028D0" w:rsidRDefault="003D38BE" w:rsidP="003D38B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1,2</w:t>
            </w:r>
          </w:p>
        </w:tc>
        <w:tc>
          <w:tcPr>
            <w:tcW w:w="798" w:type="dxa"/>
          </w:tcPr>
          <w:p w14:paraId="76457D1D" w14:textId="77777777" w:rsidR="003D38BE" w:rsidRPr="003028D0" w:rsidRDefault="003D38BE" w:rsidP="003D38B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1,1</w:t>
            </w:r>
          </w:p>
        </w:tc>
      </w:tr>
      <w:tr w:rsidR="003028D0" w:rsidRPr="003028D0" w14:paraId="551534A3" w14:textId="77777777" w:rsidTr="0030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9" w:type="dxa"/>
          </w:tcPr>
          <w:p w14:paraId="6F220FA1" w14:textId="77777777" w:rsidR="003D38BE" w:rsidRPr="003028D0" w:rsidRDefault="003D38BE" w:rsidP="003D38BE">
            <w:pPr>
              <w:pStyle w:val="tabteksts"/>
              <w:rPr>
                <w:b w:val="0"/>
                <w:snapToGrid w:val="0"/>
                <w:color w:val="auto"/>
              </w:rPr>
            </w:pPr>
            <w:r w:rsidRPr="003028D0">
              <w:rPr>
                <w:b w:val="0"/>
                <w:snapToGrid w:val="0"/>
                <w:color w:val="auto"/>
              </w:rPr>
              <w:t>7. Veselība</w:t>
            </w:r>
          </w:p>
        </w:tc>
        <w:tc>
          <w:tcPr>
            <w:tcW w:w="952" w:type="dxa"/>
            <w:vAlign w:val="center"/>
          </w:tcPr>
          <w:p w14:paraId="08BE932B" w14:textId="77777777" w:rsidR="003D38BE" w:rsidRPr="003028D0" w:rsidRDefault="003D38BE" w:rsidP="003028D0">
            <w:pPr>
              <w:pStyle w:val="tabteksts"/>
              <w:jc w:val="center"/>
              <w:cnfStyle w:val="000000100000" w:firstRow="0" w:lastRow="0" w:firstColumn="0" w:lastColumn="0" w:oddVBand="0" w:evenVBand="0" w:oddHBand="1" w:evenHBand="0" w:firstRowFirstColumn="0" w:firstRowLastColumn="0" w:lastRowFirstColumn="0" w:lastRowLastColumn="0"/>
              <w:rPr>
                <w:color w:val="auto"/>
              </w:rPr>
            </w:pPr>
            <w:r w:rsidRPr="003028D0">
              <w:rPr>
                <w:color w:val="auto"/>
              </w:rPr>
              <w:t>7</w:t>
            </w:r>
          </w:p>
        </w:tc>
        <w:tc>
          <w:tcPr>
            <w:tcW w:w="797" w:type="dxa"/>
          </w:tcPr>
          <w:p w14:paraId="12209FE2"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3,6</w:t>
            </w:r>
          </w:p>
        </w:tc>
        <w:tc>
          <w:tcPr>
            <w:tcW w:w="798" w:type="dxa"/>
          </w:tcPr>
          <w:p w14:paraId="08A24A9E"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3,3</w:t>
            </w:r>
          </w:p>
        </w:tc>
      </w:tr>
      <w:tr w:rsidR="003028D0" w:rsidRPr="003028D0" w14:paraId="5781B628" w14:textId="77777777" w:rsidTr="003028D0">
        <w:tc>
          <w:tcPr>
            <w:cnfStyle w:val="001000000000" w:firstRow="0" w:lastRow="0" w:firstColumn="1" w:lastColumn="0" w:oddVBand="0" w:evenVBand="0" w:oddHBand="0" w:evenHBand="0" w:firstRowFirstColumn="0" w:firstRowLastColumn="0" w:lastRowFirstColumn="0" w:lastRowLastColumn="0"/>
            <w:tcW w:w="4029" w:type="dxa"/>
          </w:tcPr>
          <w:p w14:paraId="2991359F" w14:textId="77777777" w:rsidR="003D38BE" w:rsidRPr="003028D0" w:rsidRDefault="003D38BE" w:rsidP="003D38BE">
            <w:pPr>
              <w:pStyle w:val="tabteksts"/>
              <w:rPr>
                <w:b w:val="0"/>
                <w:snapToGrid w:val="0"/>
                <w:color w:val="auto"/>
              </w:rPr>
            </w:pPr>
            <w:r w:rsidRPr="003028D0">
              <w:rPr>
                <w:b w:val="0"/>
                <w:snapToGrid w:val="0"/>
                <w:color w:val="auto"/>
              </w:rPr>
              <w:t>8. Atpūta, kultūra un reliģija</w:t>
            </w:r>
          </w:p>
        </w:tc>
        <w:tc>
          <w:tcPr>
            <w:tcW w:w="952" w:type="dxa"/>
            <w:vAlign w:val="center"/>
          </w:tcPr>
          <w:p w14:paraId="42C2D786" w14:textId="77777777" w:rsidR="003D38BE" w:rsidRPr="003028D0" w:rsidRDefault="003D38BE" w:rsidP="003028D0">
            <w:pPr>
              <w:pStyle w:val="tabteksts"/>
              <w:jc w:val="center"/>
              <w:cnfStyle w:val="000000000000" w:firstRow="0" w:lastRow="0" w:firstColumn="0" w:lastColumn="0" w:oddVBand="0" w:evenVBand="0" w:oddHBand="0" w:evenHBand="0" w:firstRowFirstColumn="0" w:firstRowLastColumn="0" w:lastRowFirstColumn="0" w:lastRowLastColumn="0"/>
              <w:rPr>
                <w:color w:val="auto"/>
              </w:rPr>
            </w:pPr>
            <w:r w:rsidRPr="003028D0">
              <w:rPr>
                <w:color w:val="auto"/>
              </w:rPr>
              <w:t>8</w:t>
            </w:r>
          </w:p>
        </w:tc>
        <w:tc>
          <w:tcPr>
            <w:tcW w:w="797" w:type="dxa"/>
          </w:tcPr>
          <w:p w14:paraId="47D30373" w14:textId="77777777" w:rsidR="003D38BE" w:rsidRPr="003028D0" w:rsidRDefault="003D38BE" w:rsidP="003D38B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1,5</w:t>
            </w:r>
          </w:p>
        </w:tc>
        <w:tc>
          <w:tcPr>
            <w:tcW w:w="798" w:type="dxa"/>
          </w:tcPr>
          <w:p w14:paraId="05382F78" w14:textId="77777777" w:rsidR="003D38BE" w:rsidRPr="003028D0" w:rsidRDefault="003D38BE" w:rsidP="003D38B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1,4</w:t>
            </w:r>
          </w:p>
        </w:tc>
      </w:tr>
      <w:tr w:rsidR="003028D0" w:rsidRPr="003028D0" w14:paraId="2DBD296B" w14:textId="77777777" w:rsidTr="0030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9" w:type="dxa"/>
          </w:tcPr>
          <w:p w14:paraId="2635F2C7" w14:textId="77777777" w:rsidR="003D38BE" w:rsidRPr="003028D0" w:rsidRDefault="003D38BE" w:rsidP="003D38BE">
            <w:pPr>
              <w:pStyle w:val="tabteksts"/>
              <w:rPr>
                <w:b w:val="0"/>
                <w:snapToGrid w:val="0"/>
                <w:color w:val="auto"/>
              </w:rPr>
            </w:pPr>
            <w:r w:rsidRPr="003028D0">
              <w:rPr>
                <w:b w:val="0"/>
                <w:snapToGrid w:val="0"/>
                <w:color w:val="auto"/>
              </w:rPr>
              <w:t>9. Izglītība</w:t>
            </w:r>
          </w:p>
        </w:tc>
        <w:tc>
          <w:tcPr>
            <w:tcW w:w="952" w:type="dxa"/>
            <w:vAlign w:val="center"/>
          </w:tcPr>
          <w:p w14:paraId="7EAF7263" w14:textId="77777777" w:rsidR="003D38BE" w:rsidRPr="003028D0" w:rsidRDefault="003D38BE" w:rsidP="003028D0">
            <w:pPr>
              <w:pStyle w:val="tabteksts"/>
              <w:jc w:val="center"/>
              <w:cnfStyle w:val="000000100000" w:firstRow="0" w:lastRow="0" w:firstColumn="0" w:lastColumn="0" w:oddVBand="0" w:evenVBand="0" w:oddHBand="1" w:evenHBand="0" w:firstRowFirstColumn="0" w:firstRowLastColumn="0" w:lastRowFirstColumn="0" w:lastRowLastColumn="0"/>
              <w:rPr>
                <w:color w:val="auto"/>
              </w:rPr>
            </w:pPr>
            <w:r w:rsidRPr="003028D0">
              <w:rPr>
                <w:color w:val="auto"/>
              </w:rPr>
              <w:t>9</w:t>
            </w:r>
          </w:p>
        </w:tc>
        <w:tc>
          <w:tcPr>
            <w:tcW w:w="797" w:type="dxa"/>
          </w:tcPr>
          <w:p w14:paraId="2BC445B7"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5,5</w:t>
            </w:r>
          </w:p>
        </w:tc>
        <w:tc>
          <w:tcPr>
            <w:tcW w:w="798" w:type="dxa"/>
          </w:tcPr>
          <w:p w14:paraId="23B339CD"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5,0</w:t>
            </w:r>
          </w:p>
        </w:tc>
      </w:tr>
      <w:tr w:rsidR="003028D0" w:rsidRPr="003028D0" w14:paraId="26F37266" w14:textId="77777777" w:rsidTr="003028D0">
        <w:tc>
          <w:tcPr>
            <w:cnfStyle w:val="001000000000" w:firstRow="0" w:lastRow="0" w:firstColumn="1" w:lastColumn="0" w:oddVBand="0" w:evenVBand="0" w:oddHBand="0" w:evenHBand="0" w:firstRowFirstColumn="0" w:firstRowLastColumn="0" w:lastRowFirstColumn="0" w:lastRowLastColumn="0"/>
            <w:tcW w:w="4029" w:type="dxa"/>
          </w:tcPr>
          <w:p w14:paraId="4CEAAD56" w14:textId="77777777" w:rsidR="003D38BE" w:rsidRPr="003028D0" w:rsidRDefault="003D38BE" w:rsidP="003D38BE">
            <w:pPr>
              <w:pStyle w:val="tabteksts"/>
              <w:rPr>
                <w:b w:val="0"/>
                <w:snapToGrid w:val="0"/>
                <w:color w:val="auto"/>
              </w:rPr>
            </w:pPr>
            <w:r w:rsidRPr="003028D0">
              <w:rPr>
                <w:b w:val="0"/>
                <w:snapToGrid w:val="0"/>
                <w:color w:val="auto"/>
              </w:rPr>
              <w:t>10. Sociālā aizsardzība</w:t>
            </w:r>
          </w:p>
        </w:tc>
        <w:tc>
          <w:tcPr>
            <w:tcW w:w="952" w:type="dxa"/>
            <w:vAlign w:val="center"/>
          </w:tcPr>
          <w:p w14:paraId="6208904F" w14:textId="77777777" w:rsidR="003D38BE" w:rsidRPr="003028D0" w:rsidRDefault="003D38BE" w:rsidP="003028D0">
            <w:pPr>
              <w:pStyle w:val="tabteksts"/>
              <w:jc w:val="center"/>
              <w:cnfStyle w:val="000000000000" w:firstRow="0" w:lastRow="0" w:firstColumn="0" w:lastColumn="0" w:oddVBand="0" w:evenVBand="0" w:oddHBand="0" w:evenHBand="0" w:firstRowFirstColumn="0" w:firstRowLastColumn="0" w:lastRowFirstColumn="0" w:lastRowLastColumn="0"/>
              <w:rPr>
                <w:color w:val="auto"/>
              </w:rPr>
            </w:pPr>
            <w:r w:rsidRPr="003028D0">
              <w:rPr>
                <w:color w:val="auto"/>
              </w:rPr>
              <w:t>10</w:t>
            </w:r>
          </w:p>
        </w:tc>
        <w:tc>
          <w:tcPr>
            <w:tcW w:w="797" w:type="dxa"/>
          </w:tcPr>
          <w:p w14:paraId="7D951F41" w14:textId="77777777" w:rsidR="003D38BE" w:rsidRPr="003028D0" w:rsidRDefault="003D38BE" w:rsidP="003D38B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11,3</w:t>
            </w:r>
          </w:p>
        </w:tc>
        <w:tc>
          <w:tcPr>
            <w:tcW w:w="798" w:type="dxa"/>
          </w:tcPr>
          <w:p w14:paraId="5CDD0AC8" w14:textId="77777777" w:rsidR="003D38BE" w:rsidRPr="003028D0" w:rsidRDefault="003D38BE" w:rsidP="003D38B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10,3</w:t>
            </w:r>
          </w:p>
        </w:tc>
      </w:tr>
      <w:tr w:rsidR="003028D0" w:rsidRPr="003028D0" w14:paraId="386EC133" w14:textId="77777777" w:rsidTr="0030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9" w:type="dxa"/>
          </w:tcPr>
          <w:p w14:paraId="6478816E" w14:textId="77777777" w:rsidR="003D38BE" w:rsidRPr="003028D0" w:rsidRDefault="003D38BE" w:rsidP="003D38BE">
            <w:pPr>
              <w:pStyle w:val="tabteksts"/>
              <w:rPr>
                <w:b w:val="0"/>
                <w:snapToGrid w:val="0"/>
                <w:color w:val="auto"/>
              </w:rPr>
            </w:pPr>
            <w:r w:rsidRPr="003028D0">
              <w:rPr>
                <w:b w:val="0"/>
                <w:snapToGrid w:val="0"/>
                <w:color w:val="auto"/>
              </w:rPr>
              <w:t>11. Kopējie izdevumi</w:t>
            </w:r>
          </w:p>
        </w:tc>
        <w:tc>
          <w:tcPr>
            <w:tcW w:w="952" w:type="dxa"/>
            <w:vAlign w:val="center"/>
          </w:tcPr>
          <w:p w14:paraId="7E0A32A6" w14:textId="77777777" w:rsidR="003D38BE" w:rsidRPr="003028D0" w:rsidRDefault="003D38BE" w:rsidP="003028D0">
            <w:pPr>
              <w:pStyle w:val="tabteksts"/>
              <w:jc w:val="center"/>
              <w:cnfStyle w:val="000000100000" w:firstRow="0" w:lastRow="0" w:firstColumn="0" w:lastColumn="0" w:oddVBand="0" w:evenVBand="0" w:oddHBand="1" w:evenHBand="0" w:firstRowFirstColumn="0" w:firstRowLastColumn="0" w:lastRowFirstColumn="0" w:lastRowLastColumn="0"/>
              <w:rPr>
                <w:color w:val="auto"/>
              </w:rPr>
            </w:pPr>
            <w:r w:rsidRPr="003028D0">
              <w:rPr>
                <w:color w:val="auto"/>
              </w:rPr>
              <w:t>TE</w:t>
            </w:r>
          </w:p>
        </w:tc>
        <w:tc>
          <w:tcPr>
            <w:tcW w:w="797" w:type="dxa"/>
          </w:tcPr>
          <w:p w14:paraId="6845F467"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35,7</w:t>
            </w:r>
          </w:p>
        </w:tc>
        <w:tc>
          <w:tcPr>
            <w:tcW w:w="798" w:type="dxa"/>
          </w:tcPr>
          <w:p w14:paraId="5EBDF50C" w14:textId="77777777" w:rsidR="003D38BE" w:rsidRPr="003028D0" w:rsidRDefault="003D38BE" w:rsidP="003D38B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34,0</w:t>
            </w:r>
          </w:p>
        </w:tc>
      </w:tr>
    </w:tbl>
    <w:p w14:paraId="0BF69454" w14:textId="77777777" w:rsidR="00F51615" w:rsidRPr="00F51615" w:rsidRDefault="00F51615" w:rsidP="00F51615">
      <w:pPr>
        <w:spacing w:before="120"/>
        <w:rPr>
          <w:rFonts w:ascii="Times New Roman" w:hAnsi="Times New Roman" w:cs="Times New Roman"/>
        </w:rPr>
      </w:pPr>
    </w:p>
    <w:p w14:paraId="0DA502FB" w14:textId="40EAE7FF" w:rsidR="0009609E" w:rsidRPr="00F51615" w:rsidRDefault="00F51615" w:rsidP="00F51615">
      <w:pPr>
        <w:rPr>
          <w:rFonts w:ascii="Times New Roman" w:hAnsi="Times New Roman" w:cs="Times New Roman"/>
          <w:b/>
          <w:bCs/>
          <w:szCs w:val="32"/>
          <w:lang w:eastAsia="lv-LV"/>
        </w:rPr>
      </w:pPr>
      <w:r w:rsidRPr="00F51615">
        <w:rPr>
          <w:rFonts w:ascii="Times New Roman" w:hAnsi="Times New Roman" w:cs="Times New Roman"/>
          <w:color w:val="000000"/>
          <w:szCs w:val="24"/>
        </w:rPr>
        <w:br w:type="page"/>
      </w:r>
      <w:r w:rsidR="00C81719">
        <w:rPr>
          <w:rFonts w:ascii="Times New Roman" w:hAnsi="Times New Roman" w:cs="Times New Roman"/>
          <w:b/>
          <w:bCs/>
          <w:sz w:val="24"/>
          <w:szCs w:val="32"/>
          <w:lang w:eastAsia="lv-LV"/>
        </w:rPr>
        <w:t>4.</w:t>
      </w:r>
      <w:r w:rsidRPr="00C81719">
        <w:rPr>
          <w:rFonts w:ascii="Times New Roman" w:hAnsi="Times New Roman" w:cs="Times New Roman"/>
          <w:b/>
          <w:bCs/>
          <w:sz w:val="24"/>
          <w:szCs w:val="32"/>
          <w:lang w:eastAsia="lv-LV"/>
        </w:rPr>
        <w:t>tabula. Vispārējās valdības parāda attīstība un parāda izmaiņas ietekmējošie faktori 201</w:t>
      </w:r>
      <w:r w:rsidR="00C81719">
        <w:rPr>
          <w:rFonts w:ascii="Times New Roman" w:hAnsi="Times New Roman" w:cs="Times New Roman"/>
          <w:b/>
          <w:bCs/>
          <w:sz w:val="24"/>
          <w:szCs w:val="32"/>
          <w:lang w:eastAsia="lv-LV"/>
        </w:rPr>
        <w:t>4.-2018</w:t>
      </w:r>
      <w:r w:rsidRPr="00C81719">
        <w:rPr>
          <w:rFonts w:ascii="Times New Roman" w:hAnsi="Times New Roman" w:cs="Times New Roman"/>
          <w:b/>
          <w:bCs/>
          <w:sz w:val="24"/>
          <w:szCs w:val="32"/>
          <w:lang w:eastAsia="lv-LV"/>
        </w:rPr>
        <w:t>.gadā</w:t>
      </w:r>
    </w:p>
    <w:tbl>
      <w:tblPr>
        <w:tblStyle w:val="GridTable6ColorfulAccent1"/>
        <w:tblW w:w="8926" w:type="dxa"/>
        <w:jc w:val="center"/>
        <w:tblLayout w:type="fixed"/>
        <w:tblLook w:val="04A0" w:firstRow="1" w:lastRow="0" w:firstColumn="1" w:lastColumn="0" w:noHBand="0" w:noVBand="1"/>
      </w:tblPr>
      <w:tblGrid>
        <w:gridCol w:w="3539"/>
        <w:gridCol w:w="1134"/>
        <w:gridCol w:w="851"/>
        <w:gridCol w:w="850"/>
        <w:gridCol w:w="851"/>
        <w:gridCol w:w="850"/>
        <w:gridCol w:w="851"/>
      </w:tblGrid>
      <w:tr w:rsidR="003028D0" w:rsidRPr="003028D0" w14:paraId="6F3DC441" w14:textId="77777777" w:rsidTr="00C81719">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3539" w:type="dxa"/>
            <w:noWrap/>
            <w:vAlign w:val="center"/>
            <w:hideMark/>
          </w:tcPr>
          <w:p w14:paraId="0E700DF6" w14:textId="77777777" w:rsidR="003666E9" w:rsidRPr="003028D0" w:rsidRDefault="003666E9" w:rsidP="003028D0">
            <w:pPr>
              <w:jc w:val="center"/>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 no IKP</w:t>
            </w:r>
          </w:p>
        </w:tc>
        <w:tc>
          <w:tcPr>
            <w:tcW w:w="1134" w:type="dxa"/>
            <w:vAlign w:val="center"/>
            <w:hideMark/>
          </w:tcPr>
          <w:p w14:paraId="7BD4415F" w14:textId="488C5DE3" w:rsidR="003666E9" w:rsidRPr="003028D0" w:rsidRDefault="003666E9" w:rsidP="00C8171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E</w:t>
            </w:r>
            <w:r w:rsidR="00C81719">
              <w:rPr>
                <w:rFonts w:ascii="Times New Roman" w:eastAsia="Times New Roman" w:hAnsi="Times New Roman" w:cs="Times New Roman"/>
                <w:color w:val="auto"/>
                <w:sz w:val="20"/>
                <w:szCs w:val="20"/>
                <w:lang w:eastAsia="lv-LV"/>
              </w:rPr>
              <w:t>KS</w:t>
            </w:r>
            <w:r w:rsidRPr="003028D0">
              <w:rPr>
                <w:rFonts w:ascii="Times New Roman" w:eastAsia="Times New Roman" w:hAnsi="Times New Roman" w:cs="Times New Roman"/>
                <w:color w:val="auto"/>
                <w:sz w:val="20"/>
                <w:szCs w:val="20"/>
                <w:lang w:eastAsia="lv-LV"/>
              </w:rPr>
              <w:t xml:space="preserve"> </w:t>
            </w:r>
            <w:r w:rsidR="00C81719">
              <w:rPr>
                <w:rFonts w:ascii="Times New Roman" w:eastAsia="Times New Roman" w:hAnsi="Times New Roman" w:cs="Times New Roman"/>
                <w:color w:val="auto"/>
                <w:sz w:val="20"/>
                <w:szCs w:val="20"/>
                <w:lang w:eastAsia="lv-LV"/>
              </w:rPr>
              <w:t>K</w:t>
            </w:r>
            <w:r w:rsidRPr="003028D0">
              <w:rPr>
                <w:rFonts w:ascii="Times New Roman" w:eastAsia="Times New Roman" w:hAnsi="Times New Roman" w:cs="Times New Roman"/>
                <w:color w:val="auto"/>
                <w:sz w:val="20"/>
                <w:szCs w:val="20"/>
                <w:lang w:eastAsia="lv-LV"/>
              </w:rPr>
              <w:t>ods</w:t>
            </w:r>
          </w:p>
        </w:tc>
        <w:tc>
          <w:tcPr>
            <w:tcW w:w="851" w:type="dxa"/>
            <w:noWrap/>
            <w:vAlign w:val="center"/>
            <w:hideMark/>
          </w:tcPr>
          <w:p w14:paraId="18DCE3C2" w14:textId="77777777" w:rsidR="003666E9" w:rsidRPr="003028D0" w:rsidRDefault="003666E9"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2014</w:t>
            </w:r>
          </w:p>
        </w:tc>
        <w:tc>
          <w:tcPr>
            <w:tcW w:w="850" w:type="dxa"/>
            <w:noWrap/>
            <w:vAlign w:val="center"/>
            <w:hideMark/>
          </w:tcPr>
          <w:p w14:paraId="6D1A41E5" w14:textId="77777777" w:rsidR="003666E9" w:rsidRPr="003028D0" w:rsidRDefault="003666E9"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2015</w:t>
            </w:r>
          </w:p>
        </w:tc>
        <w:tc>
          <w:tcPr>
            <w:tcW w:w="851" w:type="dxa"/>
            <w:noWrap/>
            <w:vAlign w:val="center"/>
            <w:hideMark/>
          </w:tcPr>
          <w:p w14:paraId="235EE5C7" w14:textId="77777777" w:rsidR="003666E9" w:rsidRPr="003028D0" w:rsidRDefault="003666E9"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2016</w:t>
            </w:r>
          </w:p>
        </w:tc>
        <w:tc>
          <w:tcPr>
            <w:tcW w:w="850" w:type="dxa"/>
            <w:noWrap/>
            <w:vAlign w:val="center"/>
            <w:hideMark/>
          </w:tcPr>
          <w:p w14:paraId="0AA1D93D" w14:textId="77777777" w:rsidR="003666E9" w:rsidRPr="003028D0" w:rsidRDefault="003666E9"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2017</w:t>
            </w:r>
          </w:p>
        </w:tc>
        <w:tc>
          <w:tcPr>
            <w:tcW w:w="851" w:type="dxa"/>
            <w:noWrap/>
            <w:vAlign w:val="center"/>
            <w:hideMark/>
          </w:tcPr>
          <w:p w14:paraId="7E17B9BF" w14:textId="77777777" w:rsidR="003666E9" w:rsidRPr="003028D0" w:rsidRDefault="003666E9"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2018</w:t>
            </w:r>
          </w:p>
        </w:tc>
      </w:tr>
      <w:tr w:rsidR="003028D0" w:rsidRPr="003028D0" w14:paraId="47D77C69" w14:textId="77777777" w:rsidTr="00C81719">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2F9ED2CC" w14:textId="02DEED58" w:rsidR="003666E9" w:rsidRPr="003028D0" w:rsidRDefault="00542988" w:rsidP="00542988">
            <w:pPr>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b w:val="0"/>
                <w:color w:val="auto"/>
                <w:sz w:val="20"/>
                <w:szCs w:val="20"/>
                <w:lang w:eastAsia="lv-LV"/>
              </w:rPr>
              <w:t>1. Bruto parāds</w:t>
            </w:r>
          </w:p>
        </w:tc>
        <w:tc>
          <w:tcPr>
            <w:tcW w:w="1134" w:type="dxa"/>
            <w:noWrap/>
            <w:hideMark/>
          </w:tcPr>
          <w:p w14:paraId="7B09A636" w14:textId="77777777" w:rsidR="003666E9" w:rsidRPr="003028D0" w:rsidRDefault="003666E9" w:rsidP="003666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3028D0">
              <w:rPr>
                <w:rFonts w:ascii="Times New Roman" w:eastAsia="Times New Roman" w:hAnsi="Times New Roman" w:cs="Times New Roman"/>
                <w:bCs/>
                <w:color w:val="auto"/>
                <w:sz w:val="20"/>
                <w:szCs w:val="20"/>
                <w:lang w:eastAsia="lv-LV"/>
              </w:rPr>
              <w:t> </w:t>
            </w:r>
          </w:p>
        </w:tc>
        <w:tc>
          <w:tcPr>
            <w:tcW w:w="851" w:type="dxa"/>
            <w:noWrap/>
            <w:vAlign w:val="center"/>
            <w:hideMark/>
          </w:tcPr>
          <w:p w14:paraId="3C3A581C" w14:textId="65201CA0"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40,0</w:t>
            </w:r>
          </w:p>
        </w:tc>
        <w:tc>
          <w:tcPr>
            <w:tcW w:w="850" w:type="dxa"/>
            <w:noWrap/>
            <w:vAlign w:val="center"/>
            <w:hideMark/>
          </w:tcPr>
          <w:p w14:paraId="2552F2A1" w14:textId="6DFFF5D0"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37,0</w:t>
            </w:r>
          </w:p>
        </w:tc>
        <w:tc>
          <w:tcPr>
            <w:tcW w:w="851" w:type="dxa"/>
            <w:noWrap/>
            <w:vAlign w:val="center"/>
            <w:hideMark/>
          </w:tcPr>
          <w:p w14:paraId="7A32D6C3" w14:textId="2884778E"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40,0</w:t>
            </w:r>
          </w:p>
        </w:tc>
        <w:tc>
          <w:tcPr>
            <w:tcW w:w="850" w:type="dxa"/>
            <w:noWrap/>
            <w:vAlign w:val="center"/>
            <w:hideMark/>
          </w:tcPr>
          <w:p w14:paraId="0B65F399" w14:textId="6C25F4B1"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37,3</w:t>
            </w:r>
          </w:p>
        </w:tc>
        <w:tc>
          <w:tcPr>
            <w:tcW w:w="851" w:type="dxa"/>
            <w:noWrap/>
            <w:vAlign w:val="center"/>
            <w:hideMark/>
          </w:tcPr>
          <w:p w14:paraId="613EF8B1" w14:textId="4C8D9F72"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34,1</w:t>
            </w:r>
          </w:p>
        </w:tc>
      </w:tr>
      <w:tr w:rsidR="003028D0" w:rsidRPr="003028D0" w14:paraId="771EDD8A" w14:textId="77777777" w:rsidTr="00C81719">
        <w:trPr>
          <w:trHeight w:val="288"/>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30CCA761" w14:textId="3D44092F" w:rsidR="003666E9" w:rsidRPr="003028D0" w:rsidRDefault="003666E9" w:rsidP="00542988">
            <w:pPr>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b w:val="0"/>
                <w:color w:val="auto"/>
                <w:sz w:val="20"/>
                <w:szCs w:val="20"/>
                <w:lang w:eastAsia="lv-LV"/>
              </w:rPr>
              <w:t>2. Bruto parāda izmaiņas</w:t>
            </w:r>
          </w:p>
        </w:tc>
        <w:tc>
          <w:tcPr>
            <w:tcW w:w="1134" w:type="dxa"/>
            <w:noWrap/>
            <w:hideMark/>
          </w:tcPr>
          <w:p w14:paraId="363E08E8" w14:textId="77777777" w:rsidR="003666E9" w:rsidRPr="003028D0" w:rsidRDefault="003666E9" w:rsidP="003666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3028D0">
              <w:rPr>
                <w:rFonts w:ascii="Times New Roman" w:eastAsia="Times New Roman" w:hAnsi="Times New Roman" w:cs="Times New Roman"/>
                <w:bCs/>
                <w:color w:val="auto"/>
                <w:sz w:val="20"/>
                <w:szCs w:val="20"/>
                <w:lang w:eastAsia="lv-LV"/>
              </w:rPr>
              <w:t> </w:t>
            </w:r>
          </w:p>
        </w:tc>
        <w:tc>
          <w:tcPr>
            <w:tcW w:w="851" w:type="dxa"/>
            <w:noWrap/>
            <w:vAlign w:val="center"/>
            <w:hideMark/>
          </w:tcPr>
          <w:p w14:paraId="04E88FDD" w14:textId="08A79EFB"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1,8</w:t>
            </w:r>
          </w:p>
        </w:tc>
        <w:tc>
          <w:tcPr>
            <w:tcW w:w="850" w:type="dxa"/>
            <w:noWrap/>
            <w:vAlign w:val="center"/>
            <w:hideMark/>
          </w:tcPr>
          <w:p w14:paraId="68E3D41E" w14:textId="087B2171"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-3,1</w:t>
            </w:r>
          </w:p>
        </w:tc>
        <w:tc>
          <w:tcPr>
            <w:tcW w:w="851" w:type="dxa"/>
            <w:noWrap/>
            <w:vAlign w:val="center"/>
            <w:hideMark/>
          </w:tcPr>
          <w:p w14:paraId="074D8401" w14:textId="0EB46A27"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3,0</w:t>
            </w:r>
          </w:p>
        </w:tc>
        <w:tc>
          <w:tcPr>
            <w:tcW w:w="850" w:type="dxa"/>
            <w:noWrap/>
            <w:vAlign w:val="center"/>
            <w:hideMark/>
          </w:tcPr>
          <w:p w14:paraId="43CDCC91" w14:textId="3A9184D7"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-2,8</w:t>
            </w:r>
          </w:p>
        </w:tc>
        <w:tc>
          <w:tcPr>
            <w:tcW w:w="851" w:type="dxa"/>
            <w:noWrap/>
            <w:vAlign w:val="center"/>
            <w:hideMark/>
          </w:tcPr>
          <w:p w14:paraId="492DA4FA" w14:textId="702AA763"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3028D0">
              <w:rPr>
                <w:rFonts w:ascii="Times New Roman" w:eastAsia="Times New Roman" w:hAnsi="Times New Roman" w:cs="Times New Roman"/>
                <w:bCs/>
                <w:color w:val="auto"/>
                <w:sz w:val="20"/>
                <w:szCs w:val="20"/>
                <w:lang w:eastAsia="lv-LV"/>
              </w:rPr>
              <w:t>-3,1</w:t>
            </w:r>
          </w:p>
        </w:tc>
      </w:tr>
      <w:tr w:rsidR="003028D0" w:rsidRPr="003028D0" w14:paraId="7667D795" w14:textId="77777777" w:rsidTr="00C81719">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8075" w:type="dxa"/>
            <w:gridSpan w:val="6"/>
            <w:hideMark/>
          </w:tcPr>
          <w:p w14:paraId="7625E559" w14:textId="07563A38" w:rsidR="003666E9" w:rsidRPr="003028D0" w:rsidRDefault="003666E9" w:rsidP="003028D0">
            <w:pPr>
              <w:jc w:val="center"/>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Kopējā parād</w:t>
            </w:r>
            <w:r w:rsidR="00542988" w:rsidRPr="003028D0">
              <w:rPr>
                <w:rFonts w:ascii="Times New Roman" w:eastAsia="Times New Roman" w:hAnsi="Times New Roman" w:cs="Times New Roman"/>
                <w:color w:val="auto"/>
                <w:sz w:val="20"/>
                <w:szCs w:val="20"/>
                <w:lang w:eastAsia="lv-LV"/>
              </w:rPr>
              <w:t>a izmaiņas ietekmējošie faktori</w:t>
            </w:r>
          </w:p>
        </w:tc>
        <w:tc>
          <w:tcPr>
            <w:tcW w:w="851" w:type="dxa"/>
            <w:hideMark/>
          </w:tcPr>
          <w:p w14:paraId="26DC8F07" w14:textId="77777777" w:rsidR="003666E9" w:rsidRPr="003028D0" w:rsidRDefault="003666E9" w:rsidP="003666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lv-LV"/>
              </w:rPr>
            </w:pPr>
          </w:p>
        </w:tc>
      </w:tr>
      <w:tr w:rsidR="003028D0" w:rsidRPr="003028D0" w14:paraId="234B2038" w14:textId="77777777" w:rsidTr="00C81719">
        <w:trPr>
          <w:trHeight w:val="267"/>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08C65962" w14:textId="43CFF4BE" w:rsidR="003666E9" w:rsidRPr="003028D0" w:rsidRDefault="00542988" w:rsidP="00542988">
            <w:pPr>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b w:val="0"/>
                <w:color w:val="auto"/>
                <w:sz w:val="20"/>
                <w:szCs w:val="20"/>
                <w:lang w:eastAsia="lv-LV"/>
              </w:rPr>
              <w:t>3. Primārā bilance</w:t>
            </w:r>
          </w:p>
        </w:tc>
        <w:tc>
          <w:tcPr>
            <w:tcW w:w="1134" w:type="dxa"/>
            <w:noWrap/>
            <w:hideMark/>
          </w:tcPr>
          <w:p w14:paraId="3C5FA798" w14:textId="77777777" w:rsidR="003666E9" w:rsidRPr="003028D0" w:rsidRDefault="003666E9" w:rsidP="003666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3028D0">
              <w:rPr>
                <w:rFonts w:ascii="Times New Roman" w:eastAsia="Times New Roman" w:hAnsi="Times New Roman" w:cs="Times New Roman"/>
                <w:bCs/>
                <w:color w:val="auto"/>
                <w:sz w:val="20"/>
                <w:szCs w:val="20"/>
                <w:lang w:eastAsia="lv-LV"/>
              </w:rPr>
              <w:t> </w:t>
            </w:r>
          </w:p>
        </w:tc>
        <w:tc>
          <w:tcPr>
            <w:tcW w:w="851" w:type="dxa"/>
            <w:noWrap/>
            <w:vAlign w:val="center"/>
            <w:hideMark/>
          </w:tcPr>
          <w:p w14:paraId="3CAD4564" w14:textId="5F9FD94F"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0,0</w:t>
            </w:r>
          </w:p>
        </w:tc>
        <w:tc>
          <w:tcPr>
            <w:tcW w:w="850" w:type="dxa"/>
            <w:noWrap/>
            <w:vAlign w:val="center"/>
            <w:hideMark/>
          </w:tcPr>
          <w:p w14:paraId="5E4BD8A1" w14:textId="3EB357F4"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-0,2</w:t>
            </w:r>
          </w:p>
        </w:tc>
        <w:tc>
          <w:tcPr>
            <w:tcW w:w="851" w:type="dxa"/>
            <w:noWrap/>
            <w:vAlign w:val="center"/>
            <w:hideMark/>
          </w:tcPr>
          <w:p w14:paraId="1EC28762" w14:textId="5DBF0702"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-0,4</w:t>
            </w:r>
          </w:p>
        </w:tc>
        <w:tc>
          <w:tcPr>
            <w:tcW w:w="850" w:type="dxa"/>
            <w:noWrap/>
            <w:vAlign w:val="center"/>
            <w:hideMark/>
          </w:tcPr>
          <w:p w14:paraId="27D08DD9" w14:textId="539AF682"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-0,2</w:t>
            </w:r>
          </w:p>
        </w:tc>
        <w:tc>
          <w:tcPr>
            <w:tcW w:w="851" w:type="dxa"/>
            <w:noWrap/>
            <w:vAlign w:val="center"/>
            <w:hideMark/>
          </w:tcPr>
          <w:p w14:paraId="06DE901B" w14:textId="5BC5C587"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-0,7</w:t>
            </w:r>
          </w:p>
        </w:tc>
      </w:tr>
      <w:tr w:rsidR="003028D0" w:rsidRPr="003028D0" w14:paraId="1E8BB784" w14:textId="77777777" w:rsidTr="00C81719">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141FD7F7" w14:textId="07329DAA" w:rsidR="003666E9" w:rsidRPr="003028D0" w:rsidRDefault="00542988" w:rsidP="00542988">
            <w:pPr>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b w:val="0"/>
                <w:color w:val="auto"/>
                <w:sz w:val="20"/>
                <w:szCs w:val="20"/>
                <w:lang w:eastAsia="lv-LV"/>
              </w:rPr>
              <w:t>4. Procentu maksājumi</w:t>
            </w:r>
          </w:p>
        </w:tc>
        <w:tc>
          <w:tcPr>
            <w:tcW w:w="1134" w:type="dxa"/>
            <w:hideMark/>
          </w:tcPr>
          <w:p w14:paraId="24ACED7B" w14:textId="77777777" w:rsidR="003666E9" w:rsidRPr="003028D0" w:rsidRDefault="003666E9" w:rsidP="003666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3028D0">
              <w:rPr>
                <w:rFonts w:ascii="Times New Roman" w:eastAsia="Times New Roman" w:hAnsi="Times New Roman" w:cs="Times New Roman"/>
                <w:bCs/>
                <w:color w:val="auto"/>
                <w:sz w:val="20"/>
                <w:szCs w:val="20"/>
                <w:lang w:eastAsia="lv-LV"/>
              </w:rPr>
              <w:t>EDP D.41</w:t>
            </w:r>
          </w:p>
        </w:tc>
        <w:tc>
          <w:tcPr>
            <w:tcW w:w="851" w:type="dxa"/>
            <w:noWrap/>
            <w:vAlign w:val="center"/>
            <w:hideMark/>
          </w:tcPr>
          <w:p w14:paraId="191F5DDB" w14:textId="1E9BF207"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1,4</w:t>
            </w:r>
          </w:p>
        </w:tc>
        <w:tc>
          <w:tcPr>
            <w:tcW w:w="850" w:type="dxa"/>
            <w:noWrap/>
            <w:vAlign w:val="center"/>
            <w:hideMark/>
          </w:tcPr>
          <w:p w14:paraId="636049B0" w14:textId="03EF47FE"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1,2</w:t>
            </w:r>
          </w:p>
        </w:tc>
        <w:tc>
          <w:tcPr>
            <w:tcW w:w="851" w:type="dxa"/>
            <w:noWrap/>
            <w:vAlign w:val="center"/>
            <w:hideMark/>
          </w:tcPr>
          <w:p w14:paraId="7FF7C870" w14:textId="40F98AB0"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1,2</w:t>
            </w:r>
          </w:p>
        </w:tc>
        <w:tc>
          <w:tcPr>
            <w:tcW w:w="850" w:type="dxa"/>
            <w:noWrap/>
            <w:vAlign w:val="center"/>
            <w:hideMark/>
          </w:tcPr>
          <w:p w14:paraId="5FD17948" w14:textId="0063AE93"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1,1</w:t>
            </w:r>
          </w:p>
        </w:tc>
        <w:tc>
          <w:tcPr>
            <w:tcW w:w="851" w:type="dxa"/>
            <w:noWrap/>
            <w:vAlign w:val="center"/>
            <w:hideMark/>
          </w:tcPr>
          <w:p w14:paraId="02269E18" w14:textId="6E64786C"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1,0</w:t>
            </w:r>
          </w:p>
        </w:tc>
      </w:tr>
      <w:tr w:rsidR="003028D0" w:rsidRPr="003028D0" w14:paraId="2E4F6237" w14:textId="77777777" w:rsidTr="00C81719">
        <w:trPr>
          <w:trHeight w:val="261"/>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710C10A7" w14:textId="79860D75" w:rsidR="003666E9" w:rsidRPr="003028D0" w:rsidRDefault="00542988" w:rsidP="00542988">
            <w:pPr>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b w:val="0"/>
                <w:color w:val="auto"/>
                <w:sz w:val="20"/>
                <w:szCs w:val="20"/>
                <w:lang w:eastAsia="lv-LV"/>
              </w:rPr>
              <w:t xml:space="preserve">5. Krājumu izmaiņas, </w:t>
            </w:r>
            <w:r w:rsidR="003666E9" w:rsidRPr="003028D0">
              <w:rPr>
                <w:rFonts w:ascii="Times New Roman" w:eastAsia="Times New Roman" w:hAnsi="Times New Roman" w:cs="Times New Roman"/>
                <w:b w:val="0"/>
                <w:color w:val="auto"/>
                <w:sz w:val="20"/>
                <w:szCs w:val="20"/>
                <w:lang w:eastAsia="lv-LV"/>
              </w:rPr>
              <w:t>t.sk.</w:t>
            </w:r>
          </w:p>
        </w:tc>
        <w:tc>
          <w:tcPr>
            <w:tcW w:w="1134" w:type="dxa"/>
            <w:hideMark/>
          </w:tcPr>
          <w:p w14:paraId="76E7D55E" w14:textId="77777777" w:rsidR="003666E9" w:rsidRPr="003028D0" w:rsidRDefault="003666E9" w:rsidP="003666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3028D0">
              <w:rPr>
                <w:rFonts w:ascii="Times New Roman" w:eastAsia="Times New Roman" w:hAnsi="Times New Roman" w:cs="Times New Roman"/>
                <w:bCs/>
                <w:color w:val="auto"/>
                <w:sz w:val="20"/>
                <w:szCs w:val="20"/>
                <w:lang w:eastAsia="lv-LV"/>
              </w:rPr>
              <w:t> </w:t>
            </w:r>
          </w:p>
        </w:tc>
        <w:tc>
          <w:tcPr>
            <w:tcW w:w="851" w:type="dxa"/>
            <w:noWrap/>
            <w:vAlign w:val="center"/>
            <w:hideMark/>
          </w:tcPr>
          <w:p w14:paraId="36F17D59" w14:textId="3414378E"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0,4</w:t>
            </w:r>
          </w:p>
        </w:tc>
        <w:tc>
          <w:tcPr>
            <w:tcW w:w="850" w:type="dxa"/>
            <w:noWrap/>
            <w:vAlign w:val="center"/>
            <w:hideMark/>
          </w:tcPr>
          <w:p w14:paraId="69627F18" w14:textId="0FE78DF7"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-4,5</w:t>
            </w:r>
          </w:p>
        </w:tc>
        <w:tc>
          <w:tcPr>
            <w:tcW w:w="851" w:type="dxa"/>
            <w:noWrap/>
            <w:vAlign w:val="center"/>
            <w:hideMark/>
          </w:tcPr>
          <w:p w14:paraId="02B2ABAA" w14:textId="00258DAB"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1,5</w:t>
            </w:r>
          </w:p>
        </w:tc>
        <w:tc>
          <w:tcPr>
            <w:tcW w:w="850" w:type="dxa"/>
            <w:noWrap/>
            <w:vAlign w:val="center"/>
            <w:hideMark/>
          </w:tcPr>
          <w:p w14:paraId="1B705A79" w14:textId="2F9256CE"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-4,0</w:t>
            </w:r>
          </w:p>
        </w:tc>
        <w:tc>
          <w:tcPr>
            <w:tcW w:w="851" w:type="dxa"/>
            <w:noWrap/>
            <w:vAlign w:val="center"/>
            <w:hideMark/>
          </w:tcPr>
          <w:p w14:paraId="404B92E6" w14:textId="2823C85B"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-4,8</w:t>
            </w:r>
          </w:p>
        </w:tc>
      </w:tr>
      <w:tr w:rsidR="003028D0" w:rsidRPr="003028D0" w14:paraId="33CBC6F4" w14:textId="77777777" w:rsidTr="00C81719">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36779798" w14:textId="26BF2B88" w:rsidR="003666E9" w:rsidRPr="003028D0" w:rsidRDefault="003666E9" w:rsidP="00542988">
            <w:pPr>
              <w:ind w:firstLineChars="200" w:firstLine="400"/>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 Starpības starp plūsmu un uzkrājumiem *</w:t>
            </w:r>
          </w:p>
        </w:tc>
        <w:tc>
          <w:tcPr>
            <w:tcW w:w="1134" w:type="dxa"/>
            <w:hideMark/>
          </w:tcPr>
          <w:p w14:paraId="24FF843A" w14:textId="77777777" w:rsidR="003666E9" w:rsidRPr="003028D0" w:rsidRDefault="003666E9" w:rsidP="003666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79806F05" w14:textId="5FA7217E"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0,0</w:t>
            </w:r>
          </w:p>
        </w:tc>
        <w:tc>
          <w:tcPr>
            <w:tcW w:w="850" w:type="dxa"/>
            <w:noWrap/>
            <w:vAlign w:val="center"/>
            <w:hideMark/>
          </w:tcPr>
          <w:p w14:paraId="4F301DBC"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03F18626"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0" w:type="dxa"/>
            <w:noWrap/>
            <w:vAlign w:val="center"/>
            <w:hideMark/>
          </w:tcPr>
          <w:p w14:paraId="63B412E7"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0E46237A"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r>
      <w:tr w:rsidR="003028D0" w:rsidRPr="003028D0" w14:paraId="568BCE56" w14:textId="77777777" w:rsidTr="00C81719">
        <w:trPr>
          <w:trHeight w:val="243"/>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2B9C4AFE" w14:textId="0EF5B4C9" w:rsidR="003666E9" w:rsidRPr="003028D0" w:rsidRDefault="003666E9" w:rsidP="00542988">
            <w:pPr>
              <w:ind w:firstLineChars="200" w:firstLine="400"/>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 Finanšu aktīvu neto uzkrājums **</w:t>
            </w:r>
          </w:p>
        </w:tc>
        <w:tc>
          <w:tcPr>
            <w:tcW w:w="1134" w:type="dxa"/>
            <w:hideMark/>
          </w:tcPr>
          <w:p w14:paraId="25F5CFA3" w14:textId="77777777" w:rsidR="003666E9" w:rsidRPr="003028D0" w:rsidRDefault="003666E9" w:rsidP="003666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622B6020" w14:textId="4CA37B6D"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1,7</w:t>
            </w:r>
          </w:p>
        </w:tc>
        <w:tc>
          <w:tcPr>
            <w:tcW w:w="850" w:type="dxa"/>
            <w:noWrap/>
            <w:vAlign w:val="center"/>
            <w:hideMark/>
          </w:tcPr>
          <w:p w14:paraId="3513A981"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4E5A99B2"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0" w:type="dxa"/>
            <w:noWrap/>
            <w:vAlign w:val="center"/>
            <w:hideMark/>
          </w:tcPr>
          <w:p w14:paraId="04C727B8"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674B8074"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r>
      <w:tr w:rsidR="003028D0" w:rsidRPr="003028D0" w14:paraId="52B2B1BF" w14:textId="77777777" w:rsidTr="00C81719">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4C779E2C" w14:textId="0325353A" w:rsidR="003666E9" w:rsidRPr="003028D0" w:rsidRDefault="003666E9" w:rsidP="00542988">
            <w:pPr>
              <w:ind w:firstLineChars="200" w:firstLine="400"/>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 Pārvērtēšanas efekti un citi ***</w:t>
            </w:r>
          </w:p>
        </w:tc>
        <w:tc>
          <w:tcPr>
            <w:tcW w:w="1134" w:type="dxa"/>
            <w:noWrap/>
            <w:hideMark/>
          </w:tcPr>
          <w:p w14:paraId="23FBCB2A" w14:textId="77777777" w:rsidR="003666E9" w:rsidRPr="003028D0" w:rsidRDefault="003666E9" w:rsidP="003666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0DADC12F" w14:textId="6B4F9234"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0,4</w:t>
            </w:r>
          </w:p>
        </w:tc>
        <w:tc>
          <w:tcPr>
            <w:tcW w:w="850" w:type="dxa"/>
            <w:noWrap/>
            <w:vAlign w:val="center"/>
            <w:hideMark/>
          </w:tcPr>
          <w:p w14:paraId="5DD8E105"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643D5874"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0" w:type="dxa"/>
            <w:noWrap/>
            <w:vAlign w:val="center"/>
            <w:hideMark/>
          </w:tcPr>
          <w:p w14:paraId="2077399A"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18E98C29"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r>
      <w:tr w:rsidR="003028D0" w:rsidRPr="003028D0" w14:paraId="19F7B0FE" w14:textId="77777777" w:rsidTr="00C81719">
        <w:trPr>
          <w:trHeight w:val="265"/>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2C59D6B6" w14:textId="77777777" w:rsidR="003666E9" w:rsidRPr="003028D0" w:rsidRDefault="003666E9" w:rsidP="003666E9">
            <w:pPr>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b w:val="0"/>
                <w:color w:val="auto"/>
                <w:sz w:val="20"/>
                <w:szCs w:val="20"/>
                <w:lang w:eastAsia="lv-LV"/>
              </w:rPr>
              <w:t>Valsts parāda netiešā procentu likme</w:t>
            </w:r>
          </w:p>
        </w:tc>
        <w:tc>
          <w:tcPr>
            <w:tcW w:w="1134" w:type="dxa"/>
            <w:noWrap/>
            <w:hideMark/>
          </w:tcPr>
          <w:p w14:paraId="0D8ED44B" w14:textId="77777777" w:rsidR="003666E9" w:rsidRPr="003028D0" w:rsidRDefault="003666E9" w:rsidP="003666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sidRPr="003028D0">
              <w:rPr>
                <w:rFonts w:ascii="Times New Roman" w:eastAsia="Times New Roman" w:hAnsi="Times New Roman" w:cs="Times New Roman"/>
                <w:bCs/>
                <w:color w:val="auto"/>
                <w:sz w:val="20"/>
                <w:szCs w:val="20"/>
                <w:lang w:eastAsia="lv-LV"/>
              </w:rPr>
              <w:t> </w:t>
            </w:r>
          </w:p>
        </w:tc>
        <w:tc>
          <w:tcPr>
            <w:tcW w:w="851" w:type="dxa"/>
            <w:noWrap/>
            <w:vAlign w:val="center"/>
            <w:hideMark/>
          </w:tcPr>
          <w:p w14:paraId="3B73025C" w14:textId="74EFD7E1"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3,8</w:t>
            </w:r>
          </w:p>
        </w:tc>
        <w:tc>
          <w:tcPr>
            <w:tcW w:w="850" w:type="dxa"/>
            <w:noWrap/>
            <w:vAlign w:val="center"/>
            <w:hideMark/>
          </w:tcPr>
          <w:p w14:paraId="462E5757" w14:textId="32647BA5"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3,1</w:t>
            </w:r>
          </w:p>
        </w:tc>
        <w:tc>
          <w:tcPr>
            <w:tcW w:w="851" w:type="dxa"/>
            <w:noWrap/>
            <w:vAlign w:val="center"/>
            <w:hideMark/>
          </w:tcPr>
          <w:p w14:paraId="7AD98F3A" w14:textId="0F4B705C"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3,4</w:t>
            </w:r>
          </w:p>
        </w:tc>
        <w:tc>
          <w:tcPr>
            <w:tcW w:w="850" w:type="dxa"/>
            <w:noWrap/>
            <w:vAlign w:val="center"/>
            <w:hideMark/>
          </w:tcPr>
          <w:p w14:paraId="0758901F" w14:textId="2601A6A7"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2,8</w:t>
            </w:r>
          </w:p>
        </w:tc>
        <w:tc>
          <w:tcPr>
            <w:tcW w:w="851" w:type="dxa"/>
            <w:noWrap/>
            <w:vAlign w:val="center"/>
            <w:hideMark/>
          </w:tcPr>
          <w:p w14:paraId="6B9DA60A" w14:textId="7B3659DC"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lv-LV"/>
              </w:rPr>
            </w:pPr>
            <w:r>
              <w:rPr>
                <w:rFonts w:ascii="Times New Roman" w:eastAsia="Times New Roman" w:hAnsi="Times New Roman" w:cs="Times New Roman"/>
                <w:bCs/>
                <w:color w:val="auto"/>
                <w:sz w:val="20"/>
                <w:szCs w:val="20"/>
                <w:lang w:eastAsia="lv-LV"/>
              </w:rPr>
              <w:t>2,8</w:t>
            </w:r>
          </w:p>
        </w:tc>
      </w:tr>
      <w:tr w:rsidR="003028D0" w:rsidRPr="003028D0" w14:paraId="06FDA680" w14:textId="77777777" w:rsidTr="00C81719">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8075" w:type="dxa"/>
            <w:gridSpan w:val="6"/>
            <w:hideMark/>
          </w:tcPr>
          <w:p w14:paraId="4E4DAE5B" w14:textId="1F1647A4" w:rsidR="003666E9" w:rsidRPr="003028D0" w:rsidRDefault="00542988" w:rsidP="003028D0">
            <w:pPr>
              <w:jc w:val="center"/>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Citi mainīgie</w:t>
            </w:r>
          </w:p>
        </w:tc>
        <w:tc>
          <w:tcPr>
            <w:tcW w:w="851" w:type="dxa"/>
            <w:hideMark/>
          </w:tcPr>
          <w:p w14:paraId="1526A7BC" w14:textId="77777777" w:rsidR="003666E9" w:rsidRPr="003028D0" w:rsidRDefault="003666E9" w:rsidP="003666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lv-LV"/>
              </w:rPr>
            </w:pPr>
          </w:p>
        </w:tc>
      </w:tr>
      <w:tr w:rsidR="003028D0" w:rsidRPr="003028D0" w14:paraId="32FC8C59" w14:textId="77777777" w:rsidTr="00C81719">
        <w:trPr>
          <w:trHeight w:val="175"/>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4BE92FC0" w14:textId="02DAF647" w:rsidR="003666E9" w:rsidRPr="003028D0" w:rsidRDefault="00542988" w:rsidP="00542988">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6. Likvīdi finanšu aktīvi</w:t>
            </w:r>
          </w:p>
        </w:tc>
        <w:tc>
          <w:tcPr>
            <w:tcW w:w="1134" w:type="dxa"/>
            <w:noWrap/>
            <w:hideMark/>
          </w:tcPr>
          <w:p w14:paraId="4BD9BBE1" w14:textId="77777777" w:rsidR="003666E9" w:rsidRPr="003028D0" w:rsidRDefault="003666E9" w:rsidP="003666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7B098C7D" w14:textId="043673EF"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5,0</w:t>
            </w:r>
          </w:p>
        </w:tc>
        <w:tc>
          <w:tcPr>
            <w:tcW w:w="850" w:type="dxa"/>
            <w:noWrap/>
            <w:vAlign w:val="center"/>
            <w:hideMark/>
          </w:tcPr>
          <w:p w14:paraId="385F8AE0"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445F89C4"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0" w:type="dxa"/>
            <w:noWrap/>
            <w:vAlign w:val="center"/>
            <w:hideMark/>
          </w:tcPr>
          <w:p w14:paraId="20350E9B"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2E7E0117"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r>
      <w:tr w:rsidR="003028D0" w:rsidRPr="003028D0" w14:paraId="6A5FC4B4" w14:textId="77777777" w:rsidTr="00C81719">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1DA106A1" w14:textId="05A44B08" w:rsidR="003666E9" w:rsidRPr="003028D0" w:rsidRDefault="003666E9" w:rsidP="00542988">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7. N</w:t>
            </w:r>
            <w:r w:rsidR="00542988" w:rsidRPr="003028D0">
              <w:rPr>
                <w:rFonts w:ascii="Times New Roman" w:eastAsia="Times New Roman" w:hAnsi="Times New Roman" w:cs="Times New Roman"/>
                <w:b w:val="0"/>
                <w:color w:val="auto"/>
                <w:sz w:val="20"/>
                <w:szCs w:val="20"/>
                <w:lang w:eastAsia="lv-LV"/>
              </w:rPr>
              <w:t>eto finansiālais parāds (7=1-6)</w:t>
            </w:r>
          </w:p>
        </w:tc>
        <w:tc>
          <w:tcPr>
            <w:tcW w:w="1134" w:type="dxa"/>
            <w:noWrap/>
            <w:hideMark/>
          </w:tcPr>
          <w:p w14:paraId="45880F3A" w14:textId="77777777" w:rsidR="003666E9" w:rsidRPr="003028D0" w:rsidRDefault="003666E9" w:rsidP="003666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0FBCFB84" w14:textId="006FFE32"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35,0</w:t>
            </w:r>
          </w:p>
        </w:tc>
        <w:tc>
          <w:tcPr>
            <w:tcW w:w="850" w:type="dxa"/>
            <w:noWrap/>
            <w:vAlign w:val="center"/>
            <w:hideMark/>
          </w:tcPr>
          <w:p w14:paraId="6009A974"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6DB6B150"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0" w:type="dxa"/>
            <w:noWrap/>
            <w:vAlign w:val="center"/>
            <w:hideMark/>
          </w:tcPr>
          <w:p w14:paraId="14BD32AA"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394D6D1D" w14:textId="77777777" w:rsidR="003666E9" w:rsidRPr="003028D0" w:rsidRDefault="003666E9"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r>
      <w:tr w:rsidR="003028D0" w:rsidRPr="003028D0" w14:paraId="03F6C7CC" w14:textId="77777777" w:rsidTr="00C81719">
        <w:trPr>
          <w:trHeight w:val="269"/>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770A1F0E" w14:textId="6BDF5DEC" w:rsidR="003666E9" w:rsidRPr="003028D0" w:rsidRDefault="003666E9" w:rsidP="00542988">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 xml:space="preserve">8. </w:t>
            </w:r>
            <w:r w:rsidR="00542988" w:rsidRPr="003028D0">
              <w:rPr>
                <w:rFonts w:ascii="Times New Roman" w:eastAsia="Times New Roman" w:hAnsi="Times New Roman" w:cs="Times New Roman"/>
                <w:b w:val="0"/>
                <w:color w:val="auto"/>
                <w:sz w:val="20"/>
                <w:szCs w:val="20"/>
                <w:lang w:eastAsia="lv-LV"/>
              </w:rPr>
              <w:t>Parāda amortizācija</w:t>
            </w:r>
          </w:p>
        </w:tc>
        <w:tc>
          <w:tcPr>
            <w:tcW w:w="1134" w:type="dxa"/>
            <w:noWrap/>
            <w:hideMark/>
          </w:tcPr>
          <w:p w14:paraId="5A564AFB" w14:textId="77777777" w:rsidR="003666E9" w:rsidRPr="003028D0" w:rsidRDefault="003666E9" w:rsidP="003666E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3B87526E" w14:textId="7B40C8B6"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1,8</w:t>
            </w:r>
          </w:p>
        </w:tc>
        <w:tc>
          <w:tcPr>
            <w:tcW w:w="850" w:type="dxa"/>
            <w:noWrap/>
            <w:vAlign w:val="center"/>
            <w:hideMark/>
          </w:tcPr>
          <w:p w14:paraId="5172183B" w14:textId="159C87B4"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0,7</w:t>
            </w:r>
          </w:p>
        </w:tc>
        <w:tc>
          <w:tcPr>
            <w:tcW w:w="851" w:type="dxa"/>
            <w:noWrap/>
            <w:vAlign w:val="center"/>
            <w:hideMark/>
          </w:tcPr>
          <w:p w14:paraId="21187A35" w14:textId="34911A6C"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1,0</w:t>
            </w:r>
          </w:p>
        </w:tc>
        <w:tc>
          <w:tcPr>
            <w:tcW w:w="850" w:type="dxa"/>
            <w:noWrap/>
            <w:vAlign w:val="center"/>
            <w:hideMark/>
          </w:tcPr>
          <w:p w14:paraId="431516E0" w14:textId="175065D9"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3,2</w:t>
            </w:r>
          </w:p>
        </w:tc>
        <w:tc>
          <w:tcPr>
            <w:tcW w:w="851" w:type="dxa"/>
            <w:noWrap/>
            <w:vAlign w:val="center"/>
            <w:hideMark/>
          </w:tcPr>
          <w:p w14:paraId="1B1B5E21" w14:textId="52C5401D" w:rsidR="003666E9" w:rsidRPr="003028D0" w:rsidRDefault="003028D0"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1,9</w:t>
            </w:r>
          </w:p>
        </w:tc>
      </w:tr>
      <w:tr w:rsidR="003028D0" w:rsidRPr="003028D0" w14:paraId="2384262C" w14:textId="77777777" w:rsidTr="00C81719">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539" w:type="dxa"/>
            <w:hideMark/>
          </w:tcPr>
          <w:p w14:paraId="2D5B8C3E" w14:textId="360D6BC2" w:rsidR="003666E9" w:rsidRPr="003028D0" w:rsidRDefault="003666E9" w:rsidP="00542988">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9. Ārvalstu val</w:t>
            </w:r>
            <w:r w:rsidR="00542988" w:rsidRPr="003028D0">
              <w:rPr>
                <w:rFonts w:ascii="Times New Roman" w:eastAsia="Times New Roman" w:hAnsi="Times New Roman" w:cs="Times New Roman"/>
                <w:b w:val="0"/>
                <w:color w:val="auto"/>
                <w:sz w:val="20"/>
                <w:szCs w:val="20"/>
                <w:lang w:eastAsia="lv-LV"/>
              </w:rPr>
              <w:t>ūtā denominētā parāda īpatsvars</w:t>
            </w:r>
          </w:p>
        </w:tc>
        <w:tc>
          <w:tcPr>
            <w:tcW w:w="1134" w:type="dxa"/>
            <w:noWrap/>
            <w:hideMark/>
          </w:tcPr>
          <w:p w14:paraId="2C1FE3AB" w14:textId="77777777" w:rsidR="003666E9" w:rsidRPr="003028D0" w:rsidRDefault="003666E9" w:rsidP="003666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5E6DD2FD" w14:textId="431F82EC"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25,9</w:t>
            </w:r>
          </w:p>
        </w:tc>
        <w:tc>
          <w:tcPr>
            <w:tcW w:w="850" w:type="dxa"/>
            <w:noWrap/>
            <w:vAlign w:val="center"/>
            <w:hideMark/>
          </w:tcPr>
          <w:p w14:paraId="364412C5" w14:textId="1C37D6C1"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27,7</w:t>
            </w:r>
          </w:p>
        </w:tc>
        <w:tc>
          <w:tcPr>
            <w:tcW w:w="851" w:type="dxa"/>
            <w:noWrap/>
            <w:vAlign w:val="center"/>
            <w:hideMark/>
          </w:tcPr>
          <w:p w14:paraId="6C90E7C1" w14:textId="0D203B76"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26,8</w:t>
            </w:r>
          </w:p>
        </w:tc>
        <w:tc>
          <w:tcPr>
            <w:tcW w:w="850" w:type="dxa"/>
            <w:noWrap/>
            <w:vAlign w:val="center"/>
            <w:hideMark/>
          </w:tcPr>
          <w:p w14:paraId="0E17CF4D" w14:textId="3874601C"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22,8</w:t>
            </w:r>
          </w:p>
        </w:tc>
        <w:tc>
          <w:tcPr>
            <w:tcW w:w="851" w:type="dxa"/>
            <w:noWrap/>
            <w:vAlign w:val="center"/>
            <w:hideMark/>
          </w:tcPr>
          <w:p w14:paraId="42787DF0" w14:textId="5C6F6CD4" w:rsidR="003666E9" w:rsidRPr="003028D0" w:rsidRDefault="003028D0" w:rsidP="00AC17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Pr>
                <w:rFonts w:ascii="Times New Roman" w:eastAsia="Times New Roman" w:hAnsi="Times New Roman" w:cs="Times New Roman"/>
                <w:color w:val="auto"/>
                <w:sz w:val="20"/>
                <w:szCs w:val="20"/>
                <w:lang w:eastAsia="lv-LV"/>
              </w:rPr>
              <w:t>24,9</w:t>
            </w:r>
          </w:p>
        </w:tc>
      </w:tr>
      <w:tr w:rsidR="003028D0" w:rsidRPr="003028D0" w14:paraId="226E4A67" w14:textId="77777777" w:rsidTr="00C81719">
        <w:trPr>
          <w:trHeight w:val="227"/>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1FB9327D" w14:textId="3BEBCE8A" w:rsidR="003666E9" w:rsidRPr="003028D0" w:rsidRDefault="003666E9" w:rsidP="00542988">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10. Vidējā dzēšana</w:t>
            </w:r>
          </w:p>
        </w:tc>
        <w:tc>
          <w:tcPr>
            <w:tcW w:w="1134" w:type="dxa"/>
            <w:noWrap/>
            <w:hideMark/>
          </w:tcPr>
          <w:p w14:paraId="1ED2AA59" w14:textId="77777777" w:rsidR="003666E9" w:rsidRPr="003028D0" w:rsidRDefault="003666E9" w:rsidP="003666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12DDD002" w14:textId="216575B0"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xml:space="preserve">4,79 </w:t>
            </w:r>
            <w:r w:rsidR="00FA4740" w:rsidRPr="003028D0">
              <w:rPr>
                <w:rFonts w:ascii="Times New Roman" w:eastAsia="Times New Roman" w:hAnsi="Times New Roman" w:cs="Times New Roman"/>
                <w:color w:val="auto"/>
                <w:sz w:val="20"/>
                <w:szCs w:val="20"/>
                <w:lang w:eastAsia="lv-LV"/>
              </w:rPr>
              <w:t>gadi</w:t>
            </w:r>
          </w:p>
        </w:tc>
        <w:tc>
          <w:tcPr>
            <w:tcW w:w="850" w:type="dxa"/>
            <w:noWrap/>
            <w:vAlign w:val="center"/>
            <w:hideMark/>
          </w:tcPr>
          <w:p w14:paraId="62818EA1"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1F498F48"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0" w:type="dxa"/>
            <w:noWrap/>
            <w:vAlign w:val="center"/>
            <w:hideMark/>
          </w:tcPr>
          <w:p w14:paraId="640A79FF"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c>
          <w:tcPr>
            <w:tcW w:w="851" w:type="dxa"/>
            <w:noWrap/>
            <w:vAlign w:val="center"/>
            <w:hideMark/>
          </w:tcPr>
          <w:p w14:paraId="00F7185D" w14:textId="77777777" w:rsidR="003666E9" w:rsidRPr="003028D0" w:rsidRDefault="003666E9" w:rsidP="00AC174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 </w:t>
            </w:r>
          </w:p>
        </w:tc>
      </w:tr>
    </w:tbl>
    <w:p w14:paraId="18FE48FB" w14:textId="77777777" w:rsidR="00527227" w:rsidRDefault="00527227" w:rsidP="00F51615">
      <w:pPr>
        <w:pStyle w:val="T"/>
        <w:ind w:left="0"/>
        <w:rPr>
          <w:rFonts w:ascii="Times New Roman" w:hAnsi="Times New Roman"/>
          <w:sz w:val="20"/>
          <w:lang w:eastAsia="lv-LV"/>
        </w:rPr>
      </w:pPr>
    </w:p>
    <w:p w14:paraId="51ED764F" w14:textId="77777777" w:rsidR="00527227" w:rsidRPr="00527227" w:rsidRDefault="00527227" w:rsidP="00F171EC">
      <w:pPr>
        <w:pStyle w:val="T"/>
        <w:spacing w:after="0"/>
        <w:ind w:left="0"/>
        <w:jc w:val="both"/>
        <w:rPr>
          <w:rFonts w:ascii="Times New Roman" w:hAnsi="Times New Roman"/>
          <w:b w:val="0"/>
          <w:sz w:val="20"/>
          <w:lang w:eastAsia="lv-LV"/>
        </w:rPr>
      </w:pPr>
      <w:r w:rsidRPr="00527227">
        <w:rPr>
          <w:rFonts w:ascii="Times New Roman" w:hAnsi="Times New Roman"/>
          <w:b w:val="0"/>
          <w:sz w:val="20"/>
          <w:lang w:eastAsia="lv-LV"/>
        </w:rPr>
        <w:t>Saskaņā ar valsts budžeta deficīta un parāda 2015.gada aprīļa notifikācijas 3.A tabulas datiem:</w:t>
      </w:r>
    </w:p>
    <w:p w14:paraId="4E4FA944" w14:textId="77777777" w:rsidR="00527227" w:rsidRPr="00527227" w:rsidRDefault="00527227" w:rsidP="00F171EC">
      <w:pPr>
        <w:pStyle w:val="T"/>
        <w:spacing w:after="0"/>
        <w:ind w:left="0"/>
        <w:jc w:val="both"/>
        <w:rPr>
          <w:rFonts w:ascii="Times New Roman" w:hAnsi="Times New Roman"/>
          <w:b w:val="0"/>
          <w:sz w:val="20"/>
          <w:lang w:eastAsia="lv-LV"/>
        </w:rPr>
      </w:pPr>
      <w:r w:rsidRPr="00527227">
        <w:rPr>
          <w:rFonts w:ascii="Times New Roman" w:hAnsi="Times New Roman"/>
          <w:b w:val="0"/>
          <w:sz w:val="20"/>
          <w:lang w:eastAsia="lv-LV"/>
        </w:rPr>
        <w:t>* rindā "Uzkrāto procentu (-) un samaksāto (+) procentu (EDP D.41) starpība"</w:t>
      </w:r>
    </w:p>
    <w:p w14:paraId="1890A5AB" w14:textId="77777777" w:rsidR="00527227" w:rsidRPr="00527227" w:rsidRDefault="00527227" w:rsidP="00F171EC">
      <w:pPr>
        <w:pStyle w:val="T"/>
        <w:spacing w:after="0"/>
        <w:ind w:left="0"/>
        <w:jc w:val="both"/>
        <w:rPr>
          <w:rFonts w:ascii="Times New Roman" w:hAnsi="Times New Roman"/>
          <w:b w:val="0"/>
          <w:sz w:val="20"/>
          <w:lang w:eastAsia="lv-LV"/>
        </w:rPr>
      </w:pPr>
      <w:r w:rsidRPr="00527227">
        <w:rPr>
          <w:rFonts w:ascii="Times New Roman" w:hAnsi="Times New Roman"/>
          <w:b w:val="0"/>
          <w:sz w:val="20"/>
          <w:lang w:eastAsia="lv-LV"/>
        </w:rPr>
        <w:t xml:space="preserve">** rindā "Finanšu aktīvu tīrā iegāde" </w:t>
      </w:r>
    </w:p>
    <w:p w14:paraId="61835C82" w14:textId="4EEF4A07" w:rsidR="00F51615" w:rsidRDefault="00527227" w:rsidP="00C81719">
      <w:pPr>
        <w:pStyle w:val="T"/>
        <w:ind w:left="0"/>
        <w:jc w:val="both"/>
        <w:rPr>
          <w:rFonts w:ascii="Times New Roman" w:hAnsi="Times New Roman"/>
          <w:color w:val="000000"/>
          <w:szCs w:val="24"/>
        </w:rPr>
      </w:pPr>
      <w:r w:rsidRPr="00527227">
        <w:rPr>
          <w:rFonts w:ascii="Times New Roman" w:hAnsi="Times New Roman"/>
          <w:b w:val="0"/>
          <w:sz w:val="20"/>
          <w:lang w:eastAsia="lv-LV"/>
        </w:rPr>
        <w:t>*** rindā "Korekcijas", izņemot rindas "Uzkrāto procentu (-) un samaksāto (+) procentu (EDP D.41) starpība"</w:t>
      </w:r>
      <w:r w:rsidR="00F51615" w:rsidRPr="00527227">
        <w:rPr>
          <w:rFonts w:ascii="Times New Roman" w:hAnsi="Times New Roman"/>
          <w:b w:val="0"/>
        </w:rPr>
        <w:br w:type="page"/>
      </w:r>
      <w:r w:rsidR="00C81719">
        <w:rPr>
          <w:rFonts w:ascii="Times New Roman" w:hAnsi="Times New Roman"/>
          <w:color w:val="000000"/>
          <w:szCs w:val="24"/>
        </w:rPr>
        <w:t>5.</w:t>
      </w:r>
      <w:r w:rsidR="00F51615" w:rsidRPr="00F51615">
        <w:rPr>
          <w:rFonts w:ascii="Times New Roman" w:hAnsi="Times New Roman"/>
          <w:color w:val="000000"/>
          <w:szCs w:val="24"/>
        </w:rPr>
        <w:t>tabula. Cikliskā attīstība</w:t>
      </w:r>
    </w:p>
    <w:tbl>
      <w:tblPr>
        <w:tblStyle w:val="GridTable6ColorfulAccent1"/>
        <w:tblW w:w="8976" w:type="dxa"/>
        <w:jc w:val="center"/>
        <w:tblLook w:val="04A0" w:firstRow="1" w:lastRow="0" w:firstColumn="1" w:lastColumn="0" w:noHBand="0" w:noVBand="1"/>
      </w:tblPr>
      <w:tblGrid>
        <w:gridCol w:w="3305"/>
        <w:gridCol w:w="840"/>
        <w:gridCol w:w="803"/>
        <w:gridCol w:w="1007"/>
        <w:gridCol w:w="1007"/>
        <w:gridCol w:w="1007"/>
        <w:gridCol w:w="1007"/>
      </w:tblGrid>
      <w:tr w:rsidR="003028D0" w:rsidRPr="003028D0" w14:paraId="4D2B8191" w14:textId="77777777" w:rsidTr="003028D0">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3305" w:type="dxa"/>
            <w:noWrap/>
            <w:vAlign w:val="center"/>
            <w:hideMark/>
          </w:tcPr>
          <w:p w14:paraId="0780E0D7" w14:textId="7DD4E704" w:rsidR="00232B17" w:rsidRPr="003028D0" w:rsidRDefault="00232B17" w:rsidP="003028D0">
            <w:pPr>
              <w:jc w:val="center"/>
              <w:rPr>
                <w:rFonts w:ascii="Times New Roman" w:hAnsi="Times New Roman" w:cs="Times New Roman"/>
                <w:color w:val="auto"/>
                <w:sz w:val="20"/>
                <w:szCs w:val="20"/>
              </w:rPr>
            </w:pPr>
            <w:r w:rsidRPr="003028D0">
              <w:rPr>
                <w:rFonts w:ascii="Times New Roman" w:hAnsi="Times New Roman" w:cs="Times New Roman"/>
                <w:color w:val="auto"/>
                <w:sz w:val="20"/>
                <w:szCs w:val="20"/>
              </w:rPr>
              <w:t>% no IKP</w:t>
            </w:r>
          </w:p>
        </w:tc>
        <w:tc>
          <w:tcPr>
            <w:tcW w:w="840" w:type="dxa"/>
            <w:vAlign w:val="center"/>
            <w:hideMark/>
          </w:tcPr>
          <w:p w14:paraId="763E4403" w14:textId="77777777" w:rsidR="00232B17" w:rsidRPr="003028D0" w:rsidRDefault="00232B1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EKS Kods</w:t>
            </w:r>
          </w:p>
        </w:tc>
        <w:tc>
          <w:tcPr>
            <w:tcW w:w="803" w:type="dxa"/>
            <w:noWrap/>
            <w:vAlign w:val="center"/>
            <w:hideMark/>
          </w:tcPr>
          <w:p w14:paraId="4DC411DD" w14:textId="77777777" w:rsidR="00232B17" w:rsidRPr="003028D0" w:rsidRDefault="00232B1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3028D0">
              <w:rPr>
                <w:rFonts w:ascii="Times New Roman" w:hAnsi="Times New Roman" w:cs="Times New Roman"/>
                <w:color w:val="auto"/>
                <w:sz w:val="20"/>
                <w:szCs w:val="20"/>
              </w:rPr>
              <w:t>2014</w:t>
            </w:r>
          </w:p>
        </w:tc>
        <w:tc>
          <w:tcPr>
            <w:tcW w:w="1007" w:type="dxa"/>
            <w:noWrap/>
            <w:vAlign w:val="center"/>
            <w:hideMark/>
          </w:tcPr>
          <w:p w14:paraId="75EE1EFA" w14:textId="77777777" w:rsidR="00232B17" w:rsidRPr="003028D0" w:rsidRDefault="00232B1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3028D0">
              <w:rPr>
                <w:rFonts w:ascii="Times New Roman" w:hAnsi="Times New Roman" w:cs="Times New Roman"/>
                <w:color w:val="auto"/>
                <w:sz w:val="20"/>
                <w:szCs w:val="20"/>
              </w:rPr>
              <w:t>2015</w:t>
            </w:r>
          </w:p>
        </w:tc>
        <w:tc>
          <w:tcPr>
            <w:tcW w:w="1007" w:type="dxa"/>
            <w:noWrap/>
            <w:vAlign w:val="center"/>
            <w:hideMark/>
          </w:tcPr>
          <w:p w14:paraId="4B2758E7" w14:textId="77777777" w:rsidR="00232B17" w:rsidRPr="003028D0" w:rsidRDefault="00232B1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3028D0">
              <w:rPr>
                <w:rFonts w:ascii="Times New Roman" w:hAnsi="Times New Roman" w:cs="Times New Roman"/>
                <w:color w:val="auto"/>
                <w:sz w:val="20"/>
                <w:szCs w:val="20"/>
              </w:rPr>
              <w:t>2016</w:t>
            </w:r>
          </w:p>
        </w:tc>
        <w:tc>
          <w:tcPr>
            <w:tcW w:w="1007" w:type="dxa"/>
            <w:noWrap/>
            <w:vAlign w:val="center"/>
            <w:hideMark/>
          </w:tcPr>
          <w:p w14:paraId="3F8A67F7" w14:textId="77777777" w:rsidR="00232B17" w:rsidRPr="003028D0" w:rsidRDefault="00232B1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3028D0">
              <w:rPr>
                <w:rFonts w:ascii="Times New Roman" w:hAnsi="Times New Roman" w:cs="Times New Roman"/>
                <w:color w:val="auto"/>
                <w:sz w:val="20"/>
                <w:szCs w:val="20"/>
              </w:rPr>
              <w:t>2017</w:t>
            </w:r>
          </w:p>
        </w:tc>
        <w:tc>
          <w:tcPr>
            <w:tcW w:w="1007" w:type="dxa"/>
            <w:noWrap/>
            <w:vAlign w:val="center"/>
            <w:hideMark/>
          </w:tcPr>
          <w:p w14:paraId="3BC34499" w14:textId="77777777" w:rsidR="00232B17" w:rsidRPr="003028D0" w:rsidRDefault="00232B1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3028D0">
              <w:rPr>
                <w:rFonts w:ascii="Times New Roman" w:hAnsi="Times New Roman" w:cs="Times New Roman"/>
                <w:color w:val="auto"/>
                <w:sz w:val="20"/>
                <w:szCs w:val="20"/>
              </w:rPr>
              <w:t>2018</w:t>
            </w:r>
          </w:p>
        </w:tc>
      </w:tr>
      <w:tr w:rsidR="003028D0" w:rsidRPr="003028D0" w14:paraId="74469710" w14:textId="77777777" w:rsidTr="003028D0">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1916654E" w14:textId="77777777" w:rsidR="003D38BE" w:rsidRPr="003028D0" w:rsidRDefault="003D38BE" w:rsidP="003D38BE">
            <w:pPr>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1. IKP pieaugums salīdzināmās cenās (%)</w:t>
            </w:r>
          </w:p>
        </w:tc>
        <w:tc>
          <w:tcPr>
            <w:tcW w:w="840" w:type="dxa"/>
            <w:noWrap/>
            <w:hideMark/>
          </w:tcPr>
          <w:p w14:paraId="0B391BB5" w14:textId="77777777" w:rsidR="003D38BE" w:rsidRPr="003028D0" w:rsidRDefault="003D38BE" w:rsidP="003D38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B1g</w:t>
            </w:r>
          </w:p>
        </w:tc>
        <w:tc>
          <w:tcPr>
            <w:tcW w:w="803" w:type="dxa"/>
            <w:noWrap/>
            <w:vAlign w:val="center"/>
          </w:tcPr>
          <w:p w14:paraId="28E8B557"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2,4</w:t>
            </w:r>
          </w:p>
        </w:tc>
        <w:tc>
          <w:tcPr>
            <w:tcW w:w="1007" w:type="dxa"/>
            <w:noWrap/>
            <w:vAlign w:val="center"/>
          </w:tcPr>
          <w:p w14:paraId="02818222"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2,1</w:t>
            </w:r>
          </w:p>
        </w:tc>
        <w:tc>
          <w:tcPr>
            <w:tcW w:w="1007" w:type="dxa"/>
            <w:noWrap/>
            <w:vAlign w:val="center"/>
          </w:tcPr>
          <w:p w14:paraId="3D69F651"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3,0</w:t>
            </w:r>
          </w:p>
        </w:tc>
        <w:tc>
          <w:tcPr>
            <w:tcW w:w="1007" w:type="dxa"/>
            <w:noWrap/>
            <w:vAlign w:val="center"/>
          </w:tcPr>
          <w:p w14:paraId="251B6276"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3,6</w:t>
            </w:r>
          </w:p>
        </w:tc>
        <w:tc>
          <w:tcPr>
            <w:tcW w:w="1007" w:type="dxa"/>
            <w:noWrap/>
            <w:vAlign w:val="center"/>
          </w:tcPr>
          <w:p w14:paraId="269D1BF7"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3,6</w:t>
            </w:r>
          </w:p>
        </w:tc>
      </w:tr>
      <w:tr w:rsidR="003028D0" w:rsidRPr="003028D0" w14:paraId="07C99C93" w14:textId="77777777" w:rsidTr="003028D0">
        <w:trPr>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531E33D4" w14:textId="77777777" w:rsidR="003D38BE" w:rsidRPr="003028D0" w:rsidRDefault="003D38BE" w:rsidP="003D38BE">
            <w:pPr>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2. Faktiskā budžeta bilance</w:t>
            </w:r>
          </w:p>
        </w:tc>
        <w:tc>
          <w:tcPr>
            <w:tcW w:w="840" w:type="dxa"/>
            <w:noWrap/>
            <w:hideMark/>
          </w:tcPr>
          <w:p w14:paraId="48B71EF6" w14:textId="77777777" w:rsidR="003D38BE" w:rsidRPr="003028D0" w:rsidRDefault="003D38BE" w:rsidP="003D38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B.9</w:t>
            </w:r>
          </w:p>
        </w:tc>
        <w:tc>
          <w:tcPr>
            <w:tcW w:w="803" w:type="dxa"/>
            <w:noWrap/>
            <w:vAlign w:val="center"/>
          </w:tcPr>
          <w:p w14:paraId="342BA021"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-1,4</w:t>
            </w:r>
          </w:p>
        </w:tc>
        <w:tc>
          <w:tcPr>
            <w:tcW w:w="1007" w:type="dxa"/>
            <w:noWrap/>
            <w:vAlign w:val="center"/>
          </w:tcPr>
          <w:p w14:paraId="08AAE6E3"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-1,5</w:t>
            </w:r>
          </w:p>
        </w:tc>
        <w:tc>
          <w:tcPr>
            <w:tcW w:w="1007" w:type="dxa"/>
            <w:noWrap/>
            <w:vAlign w:val="center"/>
          </w:tcPr>
          <w:p w14:paraId="1F683E3A"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-1,6</w:t>
            </w:r>
          </w:p>
        </w:tc>
        <w:tc>
          <w:tcPr>
            <w:tcW w:w="1007" w:type="dxa"/>
            <w:noWrap/>
            <w:vAlign w:val="center"/>
          </w:tcPr>
          <w:p w14:paraId="7D27ED8A"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-1,3</w:t>
            </w:r>
          </w:p>
        </w:tc>
        <w:tc>
          <w:tcPr>
            <w:tcW w:w="1007" w:type="dxa"/>
            <w:noWrap/>
            <w:vAlign w:val="center"/>
          </w:tcPr>
          <w:p w14:paraId="7FD0C95B"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-1,7</w:t>
            </w:r>
          </w:p>
        </w:tc>
      </w:tr>
      <w:tr w:rsidR="003028D0" w:rsidRPr="003028D0" w14:paraId="0F387A44" w14:textId="77777777" w:rsidTr="003028D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5C887843" w14:textId="77777777" w:rsidR="003D38BE" w:rsidRPr="003028D0" w:rsidRDefault="003D38BE" w:rsidP="003D38BE">
            <w:pPr>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 xml:space="preserve">3. Procentu izdevumi  </w:t>
            </w:r>
          </w:p>
        </w:tc>
        <w:tc>
          <w:tcPr>
            <w:tcW w:w="840" w:type="dxa"/>
            <w:noWrap/>
            <w:hideMark/>
          </w:tcPr>
          <w:p w14:paraId="7A7A7967" w14:textId="77777777" w:rsidR="003D38BE" w:rsidRPr="003028D0" w:rsidRDefault="003D38BE" w:rsidP="003D38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D.41</w:t>
            </w:r>
          </w:p>
        </w:tc>
        <w:tc>
          <w:tcPr>
            <w:tcW w:w="803" w:type="dxa"/>
            <w:noWrap/>
            <w:vAlign w:val="center"/>
          </w:tcPr>
          <w:p w14:paraId="4790672B"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1,4</w:t>
            </w:r>
          </w:p>
        </w:tc>
        <w:tc>
          <w:tcPr>
            <w:tcW w:w="1007" w:type="dxa"/>
            <w:noWrap/>
            <w:vAlign w:val="center"/>
          </w:tcPr>
          <w:p w14:paraId="09D2B51D"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1,2</w:t>
            </w:r>
          </w:p>
        </w:tc>
        <w:tc>
          <w:tcPr>
            <w:tcW w:w="1007" w:type="dxa"/>
            <w:noWrap/>
            <w:vAlign w:val="center"/>
          </w:tcPr>
          <w:p w14:paraId="737AE0DD"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1,2</w:t>
            </w:r>
          </w:p>
        </w:tc>
        <w:tc>
          <w:tcPr>
            <w:tcW w:w="1007" w:type="dxa"/>
            <w:noWrap/>
            <w:vAlign w:val="center"/>
          </w:tcPr>
          <w:p w14:paraId="4C117B7D"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1,1</w:t>
            </w:r>
          </w:p>
        </w:tc>
        <w:tc>
          <w:tcPr>
            <w:tcW w:w="1007" w:type="dxa"/>
            <w:noWrap/>
            <w:vAlign w:val="center"/>
          </w:tcPr>
          <w:p w14:paraId="55BB5854"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1,0</w:t>
            </w:r>
          </w:p>
        </w:tc>
      </w:tr>
      <w:tr w:rsidR="003028D0" w:rsidRPr="003028D0" w14:paraId="23EEC2D7" w14:textId="77777777" w:rsidTr="003028D0">
        <w:trPr>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04B73DD3" w14:textId="77777777" w:rsidR="003D38BE" w:rsidRPr="003028D0" w:rsidRDefault="003D38BE" w:rsidP="003D38BE">
            <w:pPr>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4. Vienreizēji un citi īslaicīgi pasākumi</w:t>
            </w:r>
          </w:p>
        </w:tc>
        <w:tc>
          <w:tcPr>
            <w:tcW w:w="840" w:type="dxa"/>
            <w:noWrap/>
            <w:hideMark/>
          </w:tcPr>
          <w:p w14:paraId="04CB8732" w14:textId="77777777" w:rsidR="003D38BE" w:rsidRPr="003028D0" w:rsidRDefault="003D38BE" w:rsidP="003D3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 </w:t>
            </w:r>
          </w:p>
        </w:tc>
        <w:tc>
          <w:tcPr>
            <w:tcW w:w="803" w:type="dxa"/>
            <w:noWrap/>
            <w:vAlign w:val="center"/>
          </w:tcPr>
          <w:p w14:paraId="0F0E3DD8"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-0,4</w:t>
            </w:r>
          </w:p>
        </w:tc>
        <w:tc>
          <w:tcPr>
            <w:tcW w:w="1007" w:type="dxa"/>
            <w:noWrap/>
            <w:vAlign w:val="center"/>
          </w:tcPr>
          <w:p w14:paraId="30672F2F"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 </w:t>
            </w:r>
          </w:p>
        </w:tc>
        <w:tc>
          <w:tcPr>
            <w:tcW w:w="1007" w:type="dxa"/>
            <w:noWrap/>
            <w:vAlign w:val="center"/>
          </w:tcPr>
          <w:p w14:paraId="0189DBE5"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-0,3</w:t>
            </w:r>
          </w:p>
        </w:tc>
        <w:tc>
          <w:tcPr>
            <w:tcW w:w="1007" w:type="dxa"/>
            <w:noWrap/>
            <w:vAlign w:val="center"/>
          </w:tcPr>
          <w:p w14:paraId="20C58E0D"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-0,4</w:t>
            </w:r>
          </w:p>
        </w:tc>
        <w:tc>
          <w:tcPr>
            <w:tcW w:w="1007" w:type="dxa"/>
            <w:noWrap/>
            <w:vAlign w:val="center"/>
          </w:tcPr>
          <w:p w14:paraId="55E7427E"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-0,5</w:t>
            </w:r>
          </w:p>
        </w:tc>
      </w:tr>
      <w:tr w:rsidR="003028D0" w:rsidRPr="003028D0" w14:paraId="7D810D04" w14:textId="77777777" w:rsidTr="003028D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19B572D9" w14:textId="77777777" w:rsidR="003D38BE" w:rsidRPr="003028D0" w:rsidRDefault="003D38BE" w:rsidP="003D38BE">
            <w:pPr>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5. Potenciālā IKP pieaugums (%)</w:t>
            </w:r>
          </w:p>
        </w:tc>
        <w:tc>
          <w:tcPr>
            <w:tcW w:w="840" w:type="dxa"/>
            <w:noWrap/>
            <w:hideMark/>
          </w:tcPr>
          <w:p w14:paraId="61039FE9" w14:textId="77777777" w:rsidR="003D38BE" w:rsidRPr="003028D0" w:rsidRDefault="003D38BE" w:rsidP="003D3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 </w:t>
            </w:r>
          </w:p>
        </w:tc>
        <w:tc>
          <w:tcPr>
            <w:tcW w:w="803" w:type="dxa"/>
            <w:noWrap/>
            <w:vAlign w:val="center"/>
          </w:tcPr>
          <w:p w14:paraId="631A8682"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2,6</w:t>
            </w:r>
          </w:p>
        </w:tc>
        <w:tc>
          <w:tcPr>
            <w:tcW w:w="1007" w:type="dxa"/>
            <w:noWrap/>
            <w:vAlign w:val="center"/>
          </w:tcPr>
          <w:p w14:paraId="0BA71367"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2,8</w:t>
            </w:r>
          </w:p>
        </w:tc>
        <w:tc>
          <w:tcPr>
            <w:tcW w:w="1007" w:type="dxa"/>
            <w:noWrap/>
            <w:vAlign w:val="center"/>
          </w:tcPr>
          <w:p w14:paraId="23A018A8"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3,1</w:t>
            </w:r>
          </w:p>
        </w:tc>
        <w:tc>
          <w:tcPr>
            <w:tcW w:w="1007" w:type="dxa"/>
            <w:noWrap/>
            <w:vAlign w:val="center"/>
          </w:tcPr>
          <w:p w14:paraId="4FDEAE63"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3,3</w:t>
            </w:r>
          </w:p>
        </w:tc>
        <w:tc>
          <w:tcPr>
            <w:tcW w:w="1007" w:type="dxa"/>
            <w:noWrap/>
            <w:vAlign w:val="center"/>
          </w:tcPr>
          <w:p w14:paraId="2CD4DF23"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3,5</w:t>
            </w:r>
          </w:p>
        </w:tc>
      </w:tr>
      <w:tr w:rsidR="003028D0" w:rsidRPr="003028D0" w14:paraId="28B672B1" w14:textId="77777777" w:rsidTr="003028D0">
        <w:trPr>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5ADD4158" w14:textId="77777777" w:rsidR="003D38BE" w:rsidRPr="003028D0" w:rsidRDefault="003D38BE" w:rsidP="003D38BE">
            <w:pPr>
              <w:ind w:firstLineChars="100" w:firstLine="200"/>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ieguldījums:</w:t>
            </w:r>
          </w:p>
        </w:tc>
        <w:tc>
          <w:tcPr>
            <w:tcW w:w="840" w:type="dxa"/>
            <w:noWrap/>
            <w:hideMark/>
          </w:tcPr>
          <w:p w14:paraId="7520C693" w14:textId="77777777" w:rsidR="003D38BE" w:rsidRPr="003028D0" w:rsidRDefault="003D38BE" w:rsidP="003D3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 </w:t>
            </w:r>
          </w:p>
        </w:tc>
        <w:tc>
          <w:tcPr>
            <w:tcW w:w="803" w:type="dxa"/>
            <w:noWrap/>
            <w:vAlign w:val="center"/>
          </w:tcPr>
          <w:p w14:paraId="056EEE0A"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 </w:t>
            </w:r>
          </w:p>
        </w:tc>
        <w:tc>
          <w:tcPr>
            <w:tcW w:w="1007" w:type="dxa"/>
            <w:noWrap/>
            <w:vAlign w:val="center"/>
          </w:tcPr>
          <w:p w14:paraId="0BAEBA32"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 </w:t>
            </w:r>
          </w:p>
        </w:tc>
        <w:tc>
          <w:tcPr>
            <w:tcW w:w="1007" w:type="dxa"/>
            <w:noWrap/>
            <w:vAlign w:val="center"/>
          </w:tcPr>
          <w:p w14:paraId="4929CB5B"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 </w:t>
            </w:r>
          </w:p>
        </w:tc>
        <w:tc>
          <w:tcPr>
            <w:tcW w:w="1007" w:type="dxa"/>
            <w:noWrap/>
            <w:vAlign w:val="center"/>
          </w:tcPr>
          <w:p w14:paraId="636B4EED"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 </w:t>
            </w:r>
          </w:p>
        </w:tc>
        <w:tc>
          <w:tcPr>
            <w:tcW w:w="1007" w:type="dxa"/>
            <w:noWrap/>
            <w:vAlign w:val="center"/>
          </w:tcPr>
          <w:p w14:paraId="26BFD761"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 </w:t>
            </w:r>
          </w:p>
        </w:tc>
      </w:tr>
      <w:tr w:rsidR="003028D0" w:rsidRPr="003028D0" w14:paraId="09E6EEE4" w14:textId="77777777" w:rsidTr="003028D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7A5AAA97" w14:textId="77777777" w:rsidR="003D38BE" w:rsidRPr="003028D0" w:rsidRDefault="003D38BE" w:rsidP="003D38BE">
            <w:pPr>
              <w:ind w:firstLineChars="200" w:firstLine="400"/>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 xml:space="preserve"> - nodarbinātības</w:t>
            </w:r>
          </w:p>
        </w:tc>
        <w:tc>
          <w:tcPr>
            <w:tcW w:w="840" w:type="dxa"/>
            <w:noWrap/>
            <w:hideMark/>
          </w:tcPr>
          <w:p w14:paraId="034F6F33" w14:textId="77777777" w:rsidR="003D38BE" w:rsidRPr="003028D0" w:rsidRDefault="003D38BE" w:rsidP="003D3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 </w:t>
            </w:r>
          </w:p>
        </w:tc>
        <w:tc>
          <w:tcPr>
            <w:tcW w:w="803" w:type="dxa"/>
            <w:noWrap/>
            <w:vAlign w:val="center"/>
          </w:tcPr>
          <w:p w14:paraId="1969B33F"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0,0</w:t>
            </w:r>
          </w:p>
        </w:tc>
        <w:tc>
          <w:tcPr>
            <w:tcW w:w="1007" w:type="dxa"/>
            <w:noWrap/>
            <w:vAlign w:val="center"/>
          </w:tcPr>
          <w:p w14:paraId="070E48D1"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0,1</w:t>
            </w:r>
          </w:p>
        </w:tc>
        <w:tc>
          <w:tcPr>
            <w:tcW w:w="1007" w:type="dxa"/>
            <w:noWrap/>
            <w:vAlign w:val="center"/>
          </w:tcPr>
          <w:p w14:paraId="4A0C24A2"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0,3</w:t>
            </w:r>
          </w:p>
        </w:tc>
        <w:tc>
          <w:tcPr>
            <w:tcW w:w="1007" w:type="dxa"/>
            <w:noWrap/>
            <w:vAlign w:val="center"/>
          </w:tcPr>
          <w:p w14:paraId="4EE64938"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0,3</w:t>
            </w:r>
          </w:p>
        </w:tc>
        <w:tc>
          <w:tcPr>
            <w:tcW w:w="1007" w:type="dxa"/>
            <w:noWrap/>
            <w:vAlign w:val="center"/>
          </w:tcPr>
          <w:p w14:paraId="7393D889"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0,4</w:t>
            </w:r>
          </w:p>
        </w:tc>
      </w:tr>
      <w:tr w:rsidR="003028D0" w:rsidRPr="003028D0" w14:paraId="5DFC60ED" w14:textId="77777777" w:rsidTr="003028D0">
        <w:trPr>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7B6762B0" w14:textId="77777777" w:rsidR="003D38BE" w:rsidRPr="003028D0" w:rsidRDefault="003D38BE" w:rsidP="003D38BE">
            <w:pPr>
              <w:ind w:firstLineChars="200" w:firstLine="400"/>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 xml:space="preserve"> - kapitāla</w:t>
            </w:r>
          </w:p>
        </w:tc>
        <w:tc>
          <w:tcPr>
            <w:tcW w:w="840" w:type="dxa"/>
            <w:noWrap/>
            <w:hideMark/>
          </w:tcPr>
          <w:p w14:paraId="4841ED2D" w14:textId="77777777" w:rsidR="003D38BE" w:rsidRPr="003028D0" w:rsidRDefault="003D38BE" w:rsidP="003D3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 </w:t>
            </w:r>
          </w:p>
        </w:tc>
        <w:tc>
          <w:tcPr>
            <w:tcW w:w="803" w:type="dxa"/>
            <w:noWrap/>
            <w:vAlign w:val="center"/>
          </w:tcPr>
          <w:p w14:paraId="2434BF46"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1,1</w:t>
            </w:r>
          </w:p>
        </w:tc>
        <w:tc>
          <w:tcPr>
            <w:tcW w:w="1007" w:type="dxa"/>
            <w:noWrap/>
            <w:vAlign w:val="center"/>
          </w:tcPr>
          <w:p w14:paraId="169AB7CD"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1,0</w:t>
            </w:r>
          </w:p>
        </w:tc>
        <w:tc>
          <w:tcPr>
            <w:tcW w:w="1007" w:type="dxa"/>
            <w:noWrap/>
            <w:vAlign w:val="center"/>
          </w:tcPr>
          <w:p w14:paraId="4889DF01"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1,0</w:t>
            </w:r>
          </w:p>
        </w:tc>
        <w:tc>
          <w:tcPr>
            <w:tcW w:w="1007" w:type="dxa"/>
            <w:noWrap/>
            <w:vAlign w:val="center"/>
          </w:tcPr>
          <w:p w14:paraId="6C3D17A8"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1,1</w:t>
            </w:r>
          </w:p>
        </w:tc>
        <w:tc>
          <w:tcPr>
            <w:tcW w:w="1007" w:type="dxa"/>
            <w:noWrap/>
            <w:vAlign w:val="center"/>
          </w:tcPr>
          <w:p w14:paraId="7EC17041"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1,1</w:t>
            </w:r>
          </w:p>
        </w:tc>
      </w:tr>
      <w:tr w:rsidR="003028D0" w:rsidRPr="003028D0" w14:paraId="6FC2748F" w14:textId="77777777" w:rsidTr="003028D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361F52EB" w14:textId="77777777" w:rsidR="003D38BE" w:rsidRPr="003028D0" w:rsidRDefault="003D38BE" w:rsidP="003D38BE">
            <w:pPr>
              <w:ind w:firstLineChars="200" w:firstLine="400"/>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 xml:space="preserve"> - kopējās ražošanas faktoru produktivitāte </w:t>
            </w:r>
          </w:p>
        </w:tc>
        <w:tc>
          <w:tcPr>
            <w:tcW w:w="840" w:type="dxa"/>
            <w:noWrap/>
            <w:hideMark/>
          </w:tcPr>
          <w:p w14:paraId="6ABCCDA5" w14:textId="77777777" w:rsidR="003D38BE" w:rsidRPr="003028D0" w:rsidRDefault="003D38BE" w:rsidP="003D3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 </w:t>
            </w:r>
          </w:p>
        </w:tc>
        <w:tc>
          <w:tcPr>
            <w:tcW w:w="803" w:type="dxa"/>
            <w:noWrap/>
            <w:vAlign w:val="center"/>
          </w:tcPr>
          <w:p w14:paraId="682A2FB2"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1,4</w:t>
            </w:r>
          </w:p>
        </w:tc>
        <w:tc>
          <w:tcPr>
            <w:tcW w:w="1007" w:type="dxa"/>
            <w:noWrap/>
            <w:vAlign w:val="center"/>
          </w:tcPr>
          <w:p w14:paraId="3574AA10"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1,6</w:t>
            </w:r>
          </w:p>
        </w:tc>
        <w:tc>
          <w:tcPr>
            <w:tcW w:w="1007" w:type="dxa"/>
            <w:noWrap/>
            <w:vAlign w:val="center"/>
          </w:tcPr>
          <w:p w14:paraId="57ACFEF4"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1,8</w:t>
            </w:r>
          </w:p>
        </w:tc>
        <w:tc>
          <w:tcPr>
            <w:tcW w:w="1007" w:type="dxa"/>
            <w:noWrap/>
            <w:vAlign w:val="center"/>
          </w:tcPr>
          <w:p w14:paraId="22BDB9FF"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1,9</w:t>
            </w:r>
          </w:p>
        </w:tc>
        <w:tc>
          <w:tcPr>
            <w:tcW w:w="1007" w:type="dxa"/>
            <w:noWrap/>
            <w:vAlign w:val="center"/>
          </w:tcPr>
          <w:p w14:paraId="63953FEE"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2,0</w:t>
            </w:r>
          </w:p>
        </w:tc>
      </w:tr>
      <w:tr w:rsidR="003028D0" w:rsidRPr="003028D0" w14:paraId="5F1F14E7" w14:textId="77777777" w:rsidTr="003028D0">
        <w:trPr>
          <w:trHeight w:val="63"/>
          <w:jc w:val="center"/>
        </w:trPr>
        <w:tc>
          <w:tcPr>
            <w:cnfStyle w:val="001000000000" w:firstRow="0" w:lastRow="0" w:firstColumn="1" w:lastColumn="0" w:oddVBand="0" w:evenVBand="0" w:oddHBand="0" w:evenHBand="0" w:firstRowFirstColumn="0" w:firstRowLastColumn="0" w:lastRowFirstColumn="0" w:lastRowLastColumn="0"/>
            <w:tcW w:w="3305" w:type="dxa"/>
            <w:hideMark/>
          </w:tcPr>
          <w:p w14:paraId="11FE8FC2" w14:textId="77777777" w:rsidR="003D38BE" w:rsidRPr="003028D0" w:rsidRDefault="003D38BE" w:rsidP="003D38BE">
            <w:pPr>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6. Starpība starp faktisko un potenciālo IKP (% no potenciālā IKP)</w:t>
            </w:r>
          </w:p>
        </w:tc>
        <w:tc>
          <w:tcPr>
            <w:tcW w:w="840" w:type="dxa"/>
            <w:noWrap/>
            <w:hideMark/>
          </w:tcPr>
          <w:p w14:paraId="6DDDB80D" w14:textId="77777777" w:rsidR="003D38BE" w:rsidRPr="003028D0" w:rsidRDefault="003D38BE" w:rsidP="003D38B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 </w:t>
            </w:r>
          </w:p>
        </w:tc>
        <w:tc>
          <w:tcPr>
            <w:tcW w:w="803" w:type="dxa"/>
            <w:noWrap/>
            <w:vAlign w:val="center"/>
          </w:tcPr>
          <w:p w14:paraId="6DEABBDD"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0,5</w:t>
            </w:r>
          </w:p>
        </w:tc>
        <w:tc>
          <w:tcPr>
            <w:tcW w:w="1007" w:type="dxa"/>
            <w:noWrap/>
            <w:vAlign w:val="center"/>
          </w:tcPr>
          <w:p w14:paraId="6135F1EA"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-0,1</w:t>
            </w:r>
          </w:p>
        </w:tc>
        <w:tc>
          <w:tcPr>
            <w:tcW w:w="1007" w:type="dxa"/>
            <w:noWrap/>
            <w:vAlign w:val="center"/>
          </w:tcPr>
          <w:p w14:paraId="6D8E75BF"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-0,3</w:t>
            </w:r>
          </w:p>
        </w:tc>
        <w:tc>
          <w:tcPr>
            <w:tcW w:w="1007" w:type="dxa"/>
            <w:noWrap/>
            <w:vAlign w:val="center"/>
          </w:tcPr>
          <w:p w14:paraId="0D481521"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0,0</w:t>
            </w:r>
          </w:p>
        </w:tc>
        <w:tc>
          <w:tcPr>
            <w:tcW w:w="1007" w:type="dxa"/>
            <w:noWrap/>
            <w:vAlign w:val="center"/>
          </w:tcPr>
          <w:p w14:paraId="215F4677"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0,0</w:t>
            </w:r>
          </w:p>
        </w:tc>
      </w:tr>
      <w:tr w:rsidR="003028D0" w:rsidRPr="003028D0" w14:paraId="6AD764C7" w14:textId="77777777" w:rsidTr="003028D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4671BB4F" w14:textId="77777777" w:rsidR="003D38BE" w:rsidRPr="003028D0" w:rsidRDefault="003D38BE" w:rsidP="003D38BE">
            <w:pPr>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7. Budžeta bilances cikliskā komponente</w:t>
            </w:r>
          </w:p>
        </w:tc>
        <w:tc>
          <w:tcPr>
            <w:tcW w:w="840" w:type="dxa"/>
            <w:noWrap/>
            <w:hideMark/>
          </w:tcPr>
          <w:p w14:paraId="142B93ED" w14:textId="77777777" w:rsidR="003D38BE" w:rsidRPr="003028D0" w:rsidRDefault="003D38BE" w:rsidP="003D3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 </w:t>
            </w:r>
          </w:p>
        </w:tc>
        <w:tc>
          <w:tcPr>
            <w:tcW w:w="803" w:type="dxa"/>
            <w:noWrap/>
            <w:vAlign w:val="center"/>
          </w:tcPr>
          <w:p w14:paraId="66D6B6D9"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0,2</w:t>
            </w:r>
          </w:p>
        </w:tc>
        <w:tc>
          <w:tcPr>
            <w:tcW w:w="1007" w:type="dxa"/>
            <w:noWrap/>
            <w:vAlign w:val="center"/>
          </w:tcPr>
          <w:p w14:paraId="5631952C"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-0,1</w:t>
            </w:r>
          </w:p>
        </w:tc>
        <w:tc>
          <w:tcPr>
            <w:tcW w:w="1007" w:type="dxa"/>
            <w:noWrap/>
            <w:vAlign w:val="center"/>
          </w:tcPr>
          <w:p w14:paraId="473499DE"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-0,1</w:t>
            </w:r>
          </w:p>
        </w:tc>
        <w:tc>
          <w:tcPr>
            <w:tcW w:w="1007" w:type="dxa"/>
            <w:noWrap/>
            <w:vAlign w:val="center"/>
          </w:tcPr>
          <w:p w14:paraId="47FFAE2B"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0,0</w:t>
            </w:r>
          </w:p>
        </w:tc>
        <w:tc>
          <w:tcPr>
            <w:tcW w:w="1007" w:type="dxa"/>
            <w:noWrap/>
            <w:vAlign w:val="center"/>
          </w:tcPr>
          <w:p w14:paraId="36C97D44"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0,0</w:t>
            </w:r>
          </w:p>
        </w:tc>
      </w:tr>
      <w:tr w:rsidR="003028D0" w:rsidRPr="003028D0" w14:paraId="283EF107" w14:textId="77777777" w:rsidTr="003028D0">
        <w:trPr>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644226A5" w14:textId="77777777" w:rsidR="003D38BE" w:rsidRPr="003028D0" w:rsidRDefault="003D38BE" w:rsidP="003D38BE">
            <w:pPr>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8. Cikliski koriģētā bilance (2-7)</w:t>
            </w:r>
          </w:p>
        </w:tc>
        <w:tc>
          <w:tcPr>
            <w:tcW w:w="840" w:type="dxa"/>
            <w:noWrap/>
            <w:hideMark/>
          </w:tcPr>
          <w:p w14:paraId="58D167A0" w14:textId="77777777" w:rsidR="003D38BE" w:rsidRPr="003028D0" w:rsidRDefault="003D38BE" w:rsidP="003D3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 </w:t>
            </w:r>
          </w:p>
        </w:tc>
        <w:tc>
          <w:tcPr>
            <w:tcW w:w="803" w:type="dxa"/>
            <w:noWrap/>
            <w:vAlign w:val="center"/>
          </w:tcPr>
          <w:p w14:paraId="74813D3D"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-1,6</w:t>
            </w:r>
          </w:p>
        </w:tc>
        <w:tc>
          <w:tcPr>
            <w:tcW w:w="1007" w:type="dxa"/>
            <w:noWrap/>
            <w:vAlign w:val="center"/>
          </w:tcPr>
          <w:p w14:paraId="1D173E61"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-1,4</w:t>
            </w:r>
          </w:p>
        </w:tc>
        <w:tc>
          <w:tcPr>
            <w:tcW w:w="1007" w:type="dxa"/>
            <w:noWrap/>
            <w:vAlign w:val="center"/>
          </w:tcPr>
          <w:p w14:paraId="1FC0D466"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-1,5</w:t>
            </w:r>
          </w:p>
        </w:tc>
        <w:tc>
          <w:tcPr>
            <w:tcW w:w="1007" w:type="dxa"/>
            <w:noWrap/>
            <w:vAlign w:val="center"/>
          </w:tcPr>
          <w:p w14:paraId="43A119A2"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-1,3</w:t>
            </w:r>
          </w:p>
        </w:tc>
        <w:tc>
          <w:tcPr>
            <w:tcW w:w="1007" w:type="dxa"/>
            <w:noWrap/>
            <w:vAlign w:val="center"/>
          </w:tcPr>
          <w:p w14:paraId="166127C2"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-1,7</w:t>
            </w:r>
          </w:p>
        </w:tc>
      </w:tr>
      <w:tr w:rsidR="003028D0" w:rsidRPr="003028D0" w14:paraId="421F13AD" w14:textId="77777777" w:rsidTr="003028D0">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11B17230" w14:textId="77777777" w:rsidR="003D38BE" w:rsidRPr="003028D0" w:rsidRDefault="003D38BE" w:rsidP="003D38BE">
            <w:pPr>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9. Cikliski koriģētā primārā bilance (8+3)</w:t>
            </w:r>
          </w:p>
        </w:tc>
        <w:tc>
          <w:tcPr>
            <w:tcW w:w="840" w:type="dxa"/>
            <w:noWrap/>
            <w:hideMark/>
          </w:tcPr>
          <w:p w14:paraId="5F764A57" w14:textId="77777777" w:rsidR="003D38BE" w:rsidRPr="003028D0" w:rsidRDefault="003D38BE" w:rsidP="003D38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 </w:t>
            </w:r>
          </w:p>
        </w:tc>
        <w:tc>
          <w:tcPr>
            <w:tcW w:w="803" w:type="dxa"/>
            <w:noWrap/>
            <w:vAlign w:val="center"/>
          </w:tcPr>
          <w:p w14:paraId="580EE091"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-0,2</w:t>
            </w:r>
          </w:p>
        </w:tc>
        <w:tc>
          <w:tcPr>
            <w:tcW w:w="1007" w:type="dxa"/>
            <w:noWrap/>
            <w:vAlign w:val="center"/>
          </w:tcPr>
          <w:p w14:paraId="4DCA0945"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-0,2</w:t>
            </w:r>
          </w:p>
        </w:tc>
        <w:tc>
          <w:tcPr>
            <w:tcW w:w="1007" w:type="dxa"/>
            <w:noWrap/>
            <w:vAlign w:val="center"/>
          </w:tcPr>
          <w:p w14:paraId="5AD279CD"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-0,3</w:t>
            </w:r>
          </w:p>
        </w:tc>
        <w:tc>
          <w:tcPr>
            <w:tcW w:w="1007" w:type="dxa"/>
            <w:noWrap/>
            <w:vAlign w:val="center"/>
          </w:tcPr>
          <w:p w14:paraId="5797903A"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-0,2</w:t>
            </w:r>
          </w:p>
        </w:tc>
        <w:tc>
          <w:tcPr>
            <w:tcW w:w="1007" w:type="dxa"/>
            <w:noWrap/>
            <w:vAlign w:val="center"/>
          </w:tcPr>
          <w:p w14:paraId="6C84EA58"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-0,7</w:t>
            </w:r>
          </w:p>
        </w:tc>
      </w:tr>
      <w:tr w:rsidR="003028D0" w:rsidRPr="003028D0" w14:paraId="5F991A74" w14:textId="77777777" w:rsidTr="003028D0">
        <w:trPr>
          <w:trHeight w:val="63"/>
          <w:jc w:val="center"/>
        </w:trPr>
        <w:tc>
          <w:tcPr>
            <w:cnfStyle w:val="001000000000" w:firstRow="0" w:lastRow="0" w:firstColumn="1" w:lastColumn="0" w:oddVBand="0" w:evenVBand="0" w:oddHBand="0" w:evenHBand="0" w:firstRowFirstColumn="0" w:firstRowLastColumn="0" w:lastRowFirstColumn="0" w:lastRowLastColumn="0"/>
            <w:tcW w:w="3305" w:type="dxa"/>
            <w:noWrap/>
            <w:hideMark/>
          </w:tcPr>
          <w:p w14:paraId="3D42A84B" w14:textId="77777777" w:rsidR="003D38BE" w:rsidRPr="003028D0" w:rsidRDefault="003D38BE" w:rsidP="003D38BE">
            <w:pPr>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10. Strukturālā bilance (8-4)</w:t>
            </w:r>
          </w:p>
        </w:tc>
        <w:tc>
          <w:tcPr>
            <w:tcW w:w="840" w:type="dxa"/>
            <w:noWrap/>
            <w:hideMark/>
          </w:tcPr>
          <w:p w14:paraId="413F13EC" w14:textId="77777777" w:rsidR="003D38BE" w:rsidRPr="003028D0" w:rsidRDefault="003D38BE" w:rsidP="003D38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 </w:t>
            </w:r>
          </w:p>
        </w:tc>
        <w:tc>
          <w:tcPr>
            <w:tcW w:w="803" w:type="dxa"/>
            <w:noWrap/>
            <w:vAlign w:val="center"/>
          </w:tcPr>
          <w:p w14:paraId="2BEC13EF"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-1,2</w:t>
            </w:r>
          </w:p>
        </w:tc>
        <w:tc>
          <w:tcPr>
            <w:tcW w:w="1007" w:type="dxa"/>
            <w:noWrap/>
            <w:vAlign w:val="center"/>
          </w:tcPr>
          <w:p w14:paraId="1AC59171"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-1,4</w:t>
            </w:r>
          </w:p>
        </w:tc>
        <w:tc>
          <w:tcPr>
            <w:tcW w:w="1007" w:type="dxa"/>
            <w:noWrap/>
            <w:vAlign w:val="center"/>
          </w:tcPr>
          <w:p w14:paraId="286958D2"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-1,2</w:t>
            </w:r>
          </w:p>
        </w:tc>
        <w:tc>
          <w:tcPr>
            <w:tcW w:w="1007" w:type="dxa"/>
            <w:noWrap/>
            <w:vAlign w:val="center"/>
          </w:tcPr>
          <w:p w14:paraId="6C812FAD"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-0,9</w:t>
            </w:r>
          </w:p>
        </w:tc>
        <w:tc>
          <w:tcPr>
            <w:tcW w:w="1007" w:type="dxa"/>
            <w:noWrap/>
            <w:vAlign w:val="center"/>
          </w:tcPr>
          <w:p w14:paraId="330EF350"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028D0">
              <w:rPr>
                <w:rFonts w:ascii="Times New Roman" w:eastAsia="Times New Roman" w:hAnsi="Times New Roman" w:cs="Times New Roman"/>
                <w:color w:val="auto"/>
                <w:sz w:val="20"/>
                <w:szCs w:val="20"/>
              </w:rPr>
              <w:t>-1,2</w:t>
            </w:r>
          </w:p>
        </w:tc>
      </w:tr>
    </w:tbl>
    <w:p w14:paraId="71D28B46" w14:textId="77777777" w:rsidR="00F51615" w:rsidRDefault="00F51615" w:rsidP="00F51615">
      <w:pPr>
        <w:pStyle w:val="T"/>
        <w:ind w:left="0"/>
        <w:rPr>
          <w:rFonts w:ascii="Times New Roman" w:hAnsi="Times New Roman"/>
          <w:color w:val="000000"/>
          <w:szCs w:val="24"/>
        </w:rPr>
      </w:pPr>
    </w:p>
    <w:p w14:paraId="447BA108" w14:textId="77777777" w:rsidR="00F171EC" w:rsidRPr="00F51615" w:rsidRDefault="00F171EC" w:rsidP="00F51615">
      <w:pPr>
        <w:pStyle w:val="T"/>
        <w:ind w:left="0"/>
        <w:rPr>
          <w:rFonts w:ascii="Times New Roman" w:hAnsi="Times New Roman"/>
          <w:color w:val="000000"/>
          <w:szCs w:val="24"/>
        </w:rPr>
      </w:pPr>
    </w:p>
    <w:p w14:paraId="3535DFC9" w14:textId="57EEF35C" w:rsidR="003D38BE" w:rsidRDefault="00C81719" w:rsidP="00F51615">
      <w:pPr>
        <w:pStyle w:val="T"/>
        <w:ind w:left="0"/>
        <w:rPr>
          <w:rFonts w:ascii="Times New Roman" w:hAnsi="Times New Roman"/>
          <w:color w:val="000000"/>
          <w:szCs w:val="24"/>
        </w:rPr>
      </w:pPr>
      <w:r>
        <w:rPr>
          <w:rFonts w:ascii="Times New Roman" w:hAnsi="Times New Roman"/>
          <w:color w:val="000000"/>
          <w:szCs w:val="24"/>
        </w:rPr>
        <w:t>6.</w:t>
      </w:r>
      <w:r w:rsidR="00F51615" w:rsidRPr="00F51615">
        <w:rPr>
          <w:rFonts w:ascii="Times New Roman" w:hAnsi="Times New Roman"/>
          <w:color w:val="000000"/>
          <w:szCs w:val="24"/>
        </w:rPr>
        <w:t xml:space="preserve">tabula. Salīdzinājums ar </w:t>
      </w:r>
      <w:r w:rsidR="003D38BE">
        <w:rPr>
          <w:rFonts w:ascii="Times New Roman" w:hAnsi="Times New Roman"/>
          <w:color w:val="000000"/>
          <w:szCs w:val="24"/>
        </w:rPr>
        <w:t>Stabilitātes programmas 2014.-2017</w:t>
      </w:r>
      <w:r w:rsidR="00F51615" w:rsidRPr="00F51615">
        <w:rPr>
          <w:rFonts w:ascii="Times New Roman" w:hAnsi="Times New Roman"/>
          <w:color w:val="000000"/>
          <w:szCs w:val="24"/>
        </w:rPr>
        <w:t>.gadam prognozēm</w:t>
      </w:r>
    </w:p>
    <w:tbl>
      <w:tblPr>
        <w:tblStyle w:val="GridTable6ColorfulAccent1"/>
        <w:tblW w:w="8992" w:type="dxa"/>
        <w:jc w:val="center"/>
        <w:tblLayout w:type="fixed"/>
        <w:tblLook w:val="04A0" w:firstRow="1" w:lastRow="0" w:firstColumn="1" w:lastColumn="0" w:noHBand="0" w:noVBand="1"/>
      </w:tblPr>
      <w:tblGrid>
        <w:gridCol w:w="4046"/>
        <w:gridCol w:w="694"/>
        <w:gridCol w:w="850"/>
        <w:gridCol w:w="851"/>
        <w:gridCol w:w="850"/>
        <w:gridCol w:w="851"/>
        <w:gridCol w:w="850"/>
      </w:tblGrid>
      <w:tr w:rsidR="003028D0" w:rsidRPr="003028D0" w14:paraId="00774B4E" w14:textId="77777777" w:rsidTr="003028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6" w:type="dxa"/>
            <w:vAlign w:val="center"/>
          </w:tcPr>
          <w:p w14:paraId="25AE98B2" w14:textId="77777777" w:rsidR="00527227" w:rsidRPr="003028D0" w:rsidRDefault="00527227" w:rsidP="003028D0">
            <w:pPr>
              <w:jc w:val="center"/>
              <w:rPr>
                <w:rFonts w:ascii="Times New Roman" w:hAnsi="Times New Roman" w:cs="Times New Roman"/>
                <w:color w:val="auto"/>
                <w:sz w:val="20"/>
                <w:szCs w:val="20"/>
              </w:rPr>
            </w:pPr>
          </w:p>
        </w:tc>
        <w:tc>
          <w:tcPr>
            <w:tcW w:w="694" w:type="dxa"/>
            <w:vAlign w:val="center"/>
          </w:tcPr>
          <w:p w14:paraId="3624AB53" w14:textId="77777777" w:rsidR="00527227" w:rsidRPr="003028D0" w:rsidRDefault="0052722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EKS kods</w:t>
            </w:r>
          </w:p>
        </w:tc>
        <w:tc>
          <w:tcPr>
            <w:tcW w:w="850" w:type="dxa"/>
            <w:vAlign w:val="center"/>
          </w:tcPr>
          <w:p w14:paraId="37CD4DA5" w14:textId="77777777" w:rsidR="00527227" w:rsidRPr="003028D0" w:rsidRDefault="0052722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3028D0">
              <w:rPr>
                <w:rFonts w:ascii="Times New Roman" w:hAnsi="Times New Roman" w:cs="Times New Roman"/>
                <w:color w:val="auto"/>
                <w:sz w:val="20"/>
                <w:szCs w:val="20"/>
              </w:rPr>
              <w:t>2014</w:t>
            </w:r>
          </w:p>
        </w:tc>
        <w:tc>
          <w:tcPr>
            <w:tcW w:w="851" w:type="dxa"/>
            <w:vAlign w:val="center"/>
          </w:tcPr>
          <w:p w14:paraId="5A287926" w14:textId="77777777" w:rsidR="00527227" w:rsidRPr="003028D0" w:rsidRDefault="0052722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3028D0">
              <w:rPr>
                <w:rFonts w:ascii="Times New Roman" w:hAnsi="Times New Roman" w:cs="Times New Roman"/>
                <w:color w:val="auto"/>
                <w:sz w:val="20"/>
                <w:szCs w:val="20"/>
              </w:rPr>
              <w:t>2015</w:t>
            </w:r>
          </w:p>
        </w:tc>
        <w:tc>
          <w:tcPr>
            <w:tcW w:w="850" w:type="dxa"/>
            <w:vAlign w:val="center"/>
          </w:tcPr>
          <w:p w14:paraId="5DBC8836" w14:textId="77777777" w:rsidR="00527227" w:rsidRPr="003028D0" w:rsidRDefault="0052722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3028D0">
              <w:rPr>
                <w:rFonts w:ascii="Times New Roman" w:hAnsi="Times New Roman" w:cs="Times New Roman"/>
                <w:color w:val="auto"/>
                <w:sz w:val="20"/>
                <w:szCs w:val="20"/>
              </w:rPr>
              <w:t>2016</w:t>
            </w:r>
          </w:p>
        </w:tc>
        <w:tc>
          <w:tcPr>
            <w:tcW w:w="851" w:type="dxa"/>
            <w:vAlign w:val="center"/>
          </w:tcPr>
          <w:p w14:paraId="24C25E8E" w14:textId="77777777" w:rsidR="00527227" w:rsidRPr="003028D0" w:rsidRDefault="0052722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3028D0">
              <w:rPr>
                <w:rFonts w:ascii="Times New Roman" w:hAnsi="Times New Roman" w:cs="Times New Roman"/>
                <w:color w:val="auto"/>
                <w:sz w:val="20"/>
                <w:szCs w:val="20"/>
              </w:rPr>
              <w:t>2017</w:t>
            </w:r>
          </w:p>
        </w:tc>
        <w:tc>
          <w:tcPr>
            <w:tcW w:w="850" w:type="dxa"/>
            <w:vAlign w:val="center"/>
          </w:tcPr>
          <w:p w14:paraId="4FB22662" w14:textId="77777777" w:rsidR="00527227" w:rsidRPr="003028D0" w:rsidRDefault="00527227" w:rsidP="003028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3028D0">
              <w:rPr>
                <w:rFonts w:ascii="Times New Roman" w:hAnsi="Times New Roman" w:cs="Times New Roman"/>
                <w:color w:val="auto"/>
                <w:sz w:val="20"/>
                <w:szCs w:val="20"/>
              </w:rPr>
              <w:t>2018</w:t>
            </w:r>
          </w:p>
        </w:tc>
      </w:tr>
      <w:tr w:rsidR="003028D0" w:rsidRPr="003028D0" w14:paraId="71EB091B" w14:textId="77777777" w:rsidTr="00302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6" w:type="dxa"/>
          </w:tcPr>
          <w:p w14:paraId="7B90B0AC" w14:textId="77777777" w:rsidR="00527227" w:rsidRPr="003028D0" w:rsidRDefault="00527227" w:rsidP="00527227">
            <w:pPr>
              <w:rPr>
                <w:rFonts w:ascii="Times New Roman" w:hAnsi="Times New Roman" w:cs="Times New Roman"/>
                <w:snapToGrid w:val="0"/>
                <w:color w:val="auto"/>
                <w:sz w:val="20"/>
                <w:szCs w:val="20"/>
              </w:rPr>
            </w:pPr>
            <w:r w:rsidRPr="003028D0">
              <w:rPr>
                <w:rFonts w:ascii="Times New Roman" w:hAnsi="Times New Roman" w:cs="Times New Roman"/>
                <w:color w:val="auto"/>
                <w:sz w:val="20"/>
                <w:szCs w:val="20"/>
              </w:rPr>
              <w:t>IKP pieaugums (%)</w:t>
            </w:r>
          </w:p>
        </w:tc>
        <w:tc>
          <w:tcPr>
            <w:tcW w:w="694" w:type="dxa"/>
          </w:tcPr>
          <w:p w14:paraId="78D69F4F" w14:textId="77777777" w:rsidR="00527227" w:rsidRPr="003028D0" w:rsidRDefault="00527227" w:rsidP="00527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B1g</w:t>
            </w:r>
          </w:p>
        </w:tc>
        <w:tc>
          <w:tcPr>
            <w:tcW w:w="850" w:type="dxa"/>
          </w:tcPr>
          <w:p w14:paraId="5CAA8392" w14:textId="77777777" w:rsidR="00527227" w:rsidRPr="003028D0" w:rsidRDefault="00527227" w:rsidP="00527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1" w:type="dxa"/>
          </w:tcPr>
          <w:p w14:paraId="14866B35" w14:textId="77777777" w:rsidR="00527227" w:rsidRPr="003028D0" w:rsidRDefault="00527227" w:rsidP="00527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03CB8AB4" w14:textId="77777777" w:rsidR="00527227" w:rsidRPr="003028D0" w:rsidRDefault="00527227" w:rsidP="00527227">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p>
        </w:tc>
        <w:tc>
          <w:tcPr>
            <w:tcW w:w="851" w:type="dxa"/>
          </w:tcPr>
          <w:p w14:paraId="3294C294" w14:textId="77777777" w:rsidR="00527227" w:rsidRPr="003028D0" w:rsidRDefault="00527227" w:rsidP="00527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0FF98188" w14:textId="77777777" w:rsidR="00527227" w:rsidRPr="003028D0" w:rsidRDefault="00527227" w:rsidP="00527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3028D0" w:rsidRPr="003028D0" w14:paraId="44F3D909" w14:textId="77777777" w:rsidTr="003028D0">
        <w:trPr>
          <w:jc w:val="center"/>
        </w:trPr>
        <w:tc>
          <w:tcPr>
            <w:cnfStyle w:val="001000000000" w:firstRow="0" w:lastRow="0" w:firstColumn="1" w:lastColumn="0" w:oddVBand="0" w:evenVBand="0" w:oddHBand="0" w:evenHBand="0" w:firstRowFirstColumn="0" w:firstRowLastColumn="0" w:lastRowFirstColumn="0" w:lastRowLastColumn="0"/>
            <w:tcW w:w="4046" w:type="dxa"/>
          </w:tcPr>
          <w:p w14:paraId="60C954AE" w14:textId="77777777" w:rsidR="00527227" w:rsidRPr="003028D0" w:rsidRDefault="00527227" w:rsidP="00527227">
            <w:pPr>
              <w:jc w:val="right"/>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2014. gads</w:t>
            </w:r>
          </w:p>
        </w:tc>
        <w:tc>
          <w:tcPr>
            <w:tcW w:w="694" w:type="dxa"/>
          </w:tcPr>
          <w:p w14:paraId="26C28B6D" w14:textId="77777777" w:rsidR="00527227" w:rsidRPr="003028D0" w:rsidRDefault="00527227" w:rsidP="005272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106BA3E0"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4,0</w:t>
            </w:r>
          </w:p>
        </w:tc>
        <w:tc>
          <w:tcPr>
            <w:tcW w:w="851" w:type="dxa"/>
          </w:tcPr>
          <w:p w14:paraId="0C7A8299"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4,0</w:t>
            </w:r>
          </w:p>
        </w:tc>
        <w:tc>
          <w:tcPr>
            <w:tcW w:w="850" w:type="dxa"/>
          </w:tcPr>
          <w:p w14:paraId="52F0E03A"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4,0</w:t>
            </w:r>
          </w:p>
        </w:tc>
        <w:tc>
          <w:tcPr>
            <w:tcW w:w="851" w:type="dxa"/>
          </w:tcPr>
          <w:p w14:paraId="7DD6F732"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4,0</w:t>
            </w:r>
          </w:p>
        </w:tc>
        <w:tc>
          <w:tcPr>
            <w:tcW w:w="850" w:type="dxa"/>
          </w:tcPr>
          <w:p w14:paraId="3AD6291C"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w:t>
            </w:r>
          </w:p>
        </w:tc>
      </w:tr>
      <w:tr w:rsidR="003028D0" w:rsidRPr="003028D0" w14:paraId="550DAFF3" w14:textId="77777777" w:rsidTr="00302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6" w:type="dxa"/>
          </w:tcPr>
          <w:p w14:paraId="59D9FB25" w14:textId="77777777" w:rsidR="00527227" w:rsidRPr="003028D0" w:rsidRDefault="00527227" w:rsidP="00527227">
            <w:pPr>
              <w:jc w:val="right"/>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2015. gads</w:t>
            </w:r>
          </w:p>
        </w:tc>
        <w:tc>
          <w:tcPr>
            <w:tcW w:w="694" w:type="dxa"/>
          </w:tcPr>
          <w:p w14:paraId="1A84A238" w14:textId="77777777" w:rsidR="00527227" w:rsidRPr="003028D0" w:rsidRDefault="00527227" w:rsidP="00527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6D5007C5"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2,4</w:t>
            </w:r>
          </w:p>
        </w:tc>
        <w:tc>
          <w:tcPr>
            <w:tcW w:w="851" w:type="dxa"/>
          </w:tcPr>
          <w:p w14:paraId="32471112"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2,1</w:t>
            </w:r>
          </w:p>
        </w:tc>
        <w:tc>
          <w:tcPr>
            <w:tcW w:w="850" w:type="dxa"/>
          </w:tcPr>
          <w:p w14:paraId="6B66A6CB"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3,0</w:t>
            </w:r>
          </w:p>
        </w:tc>
        <w:tc>
          <w:tcPr>
            <w:tcW w:w="851" w:type="dxa"/>
          </w:tcPr>
          <w:p w14:paraId="5C19AFFB"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3,6</w:t>
            </w:r>
          </w:p>
        </w:tc>
        <w:tc>
          <w:tcPr>
            <w:tcW w:w="850" w:type="dxa"/>
          </w:tcPr>
          <w:p w14:paraId="6081224C"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3,6</w:t>
            </w:r>
          </w:p>
        </w:tc>
      </w:tr>
      <w:tr w:rsidR="003028D0" w:rsidRPr="003028D0" w14:paraId="044AFD88" w14:textId="77777777" w:rsidTr="003028D0">
        <w:trPr>
          <w:jc w:val="center"/>
        </w:trPr>
        <w:tc>
          <w:tcPr>
            <w:cnfStyle w:val="001000000000" w:firstRow="0" w:lastRow="0" w:firstColumn="1" w:lastColumn="0" w:oddVBand="0" w:evenVBand="0" w:oddHBand="0" w:evenHBand="0" w:firstRowFirstColumn="0" w:firstRowLastColumn="0" w:lastRowFirstColumn="0" w:lastRowLastColumn="0"/>
            <w:tcW w:w="4046" w:type="dxa"/>
          </w:tcPr>
          <w:p w14:paraId="0923DE2A" w14:textId="77777777" w:rsidR="00527227" w:rsidRPr="003028D0" w:rsidRDefault="00527227" w:rsidP="00527227">
            <w:pPr>
              <w:jc w:val="right"/>
              <w:rPr>
                <w:rFonts w:ascii="Times New Roman" w:hAnsi="Times New Roman" w:cs="Times New Roman"/>
                <w:b w:val="0"/>
                <w:snapToGrid w:val="0"/>
                <w:color w:val="auto"/>
                <w:sz w:val="20"/>
                <w:szCs w:val="20"/>
              </w:rPr>
            </w:pPr>
            <w:r w:rsidRPr="003028D0">
              <w:rPr>
                <w:rFonts w:ascii="Times New Roman" w:hAnsi="Times New Roman" w:cs="Times New Roman"/>
                <w:b w:val="0"/>
                <w:snapToGrid w:val="0"/>
                <w:color w:val="auto"/>
                <w:sz w:val="20"/>
                <w:szCs w:val="20"/>
              </w:rPr>
              <w:t>Izmaiņas</w:t>
            </w:r>
          </w:p>
        </w:tc>
        <w:tc>
          <w:tcPr>
            <w:tcW w:w="694" w:type="dxa"/>
          </w:tcPr>
          <w:p w14:paraId="400E9F6A" w14:textId="77777777" w:rsidR="00527227" w:rsidRPr="003028D0" w:rsidRDefault="00527227" w:rsidP="005272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0C067B28"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-1,6</w:t>
            </w:r>
          </w:p>
        </w:tc>
        <w:tc>
          <w:tcPr>
            <w:tcW w:w="851" w:type="dxa"/>
          </w:tcPr>
          <w:p w14:paraId="6FAF523E"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-1,9</w:t>
            </w:r>
          </w:p>
        </w:tc>
        <w:tc>
          <w:tcPr>
            <w:tcW w:w="850" w:type="dxa"/>
          </w:tcPr>
          <w:p w14:paraId="33F314E0"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-1,0</w:t>
            </w:r>
          </w:p>
        </w:tc>
        <w:tc>
          <w:tcPr>
            <w:tcW w:w="851" w:type="dxa"/>
          </w:tcPr>
          <w:p w14:paraId="0F74B510"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-1,4</w:t>
            </w:r>
          </w:p>
        </w:tc>
        <w:tc>
          <w:tcPr>
            <w:tcW w:w="850" w:type="dxa"/>
          </w:tcPr>
          <w:p w14:paraId="0B52D892"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w:t>
            </w:r>
          </w:p>
        </w:tc>
      </w:tr>
      <w:tr w:rsidR="003028D0" w:rsidRPr="003028D0" w14:paraId="29C6E96B" w14:textId="77777777" w:rsidTr="00302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6" w:type="dxa"/>
          </w:tcPr>
          <w:p w14:paraId="4BED0F7D" w14:textId="77777777" w:rsidR="00527227" w:rsidRPr="003028D0" w:rsidRDefault="00527227" w:rsidP="00527227">
            <w:pPr>
              <w:rPr>
                <w:rFonts w:ascii="Times New Roman" w:hAnsi="Times New Roman" w:cs="Times New Roman"/>
                <w:b w:val="0"/>
                <w:color w:val="auto"/>
                <w:sz w:val="20"/>
                <w:szCs w:val="20"/>
              </w:rPr>
            </w:pPr>
            <w:r w:rsidRPr="003028D0">
              <w:rPr>
                <w:rFonts w:ascii="Times New Roman" w:hAnsi="Times New Roman" w:cs="Times New Roman"/>
                <w:color w:val="auto"/>
                <w:sz w:val="20"/>
                <w:szCs w:val="20"/>
              </w:rPr>
              <w:t>Faktiskā budžeta bilance</w:t>
            </w:r>
          </w:p>
          <w:p w14:paraId="60781A61" w14:textId="77777777" w:rsidR="00527227" w:rsidRPr="003028D0" w:rsidRDefault="00527227" w:rsidP="00527227">
            <w:pPr>
              <w:rPr>
                <w:rFonts w:ascii="Times New Roman" w:hAnsi="Times New Roman" w:cs="Times New Roman"/>
                <w:snapToGrid w:val="0"/>
                <w:color w:val="auto"/>
                <w:sz w:val="20"/>
                <w:szCs w:val="20"/>
              </w:rPr>
            </w:pPr>
            <w:r w:rsidRPr="003028D0">
              <w:rPr>
                <w:rFonts w:ascii="Times New Roman" w:hAnsi="Times New Roman" w:cs="Times New Roman"/>
                <w:color w:val="auto"/>
                <w:sz w:val="20"/>
                <w:szCs w:val="20"/>
              </w:rPr>
              <w:t>(% no IKP)</w:t>
            </w:r>
          </w:p>
        </w:tc>
        <w:tc>
          <w:tcPr>
            <w:tcW w:w="694" w:type="dxa"/>
          </w:tcPr>
          <w:p w14:paraId="7A98F19F" w14:textId="77777777" w:rsidR="00527227" w:rsidRPr="003028D0" w:rsidRDefault="00527227" w:rsidP="00527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B.9</w:t>
            </w:r>
          </w:p>
        </w:tc>
        <w:tc>
          <w:tcPr>
            <w:tcW w:w="850" w:type="dxa"/>
          </w:tcPr>
          <w:p w14:paraId="587A60AA" w14:textId="77777777" w:rsidR="00527227" w:rsidRPr="003028D0" w:rsidRDefault="00527227"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1" w:type="dxa"/>
          </w:tcPr>
          <w:p w14:paraId="69DB35FE" w14:textId="77777777" w:rsidR="00527227" w:rsidRPr="003028D0" w:rsidRDefault="00527227"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19B3421E" w14:textId="77777777" w:rsidR="00527227" w:rsidRPr="003028D0" w:rsidRDefault="00527227"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1" w:type="dxa"/>
          </w:tcPr>
          <w:p w14:paraId="0CFC4182" w14:textId="77777777" w:rsidR="00527227" w:rsidRPr="003028D0" w:rsidRDefault="00527227"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p>
        </w:tc>
        <w:tc>
          <w:tcPr>
            <w:tcW w:w="850" w:type="dxa"/>
          </w:tcPr>
          <w:p w14:paraId="4469CC14" w14:textId="77777777" w:rsidR="00527227" w:rsidRPr="003028D0" w:rsidRDefault="00527227"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3028D0" w:rsidRPr="003028D0" w14:paraId="12505D99" w14:textId="77777777" w:rsidTr="003028D0">
        <w:trPr>
          <w:jc w:val="center"/>
        </w:trPr>
        <w:tc>
          <w:tcPr>
            <w:cnfStyle w:val="001000000000" w:firstRow="0" w:lastRow="0" w:firstColumn="1" w:lastColumn="0" w:oddVBand="0" w:evenVBand="0" w:oddHBand="0" w:evenHBand="0" w:firstRowFirstColumn="0" w:firstRowLastColumn="0" w:lastRowFirstColumn="0" w:lastRowLastColumn="0"/>
            <w:tcW w:w="4046" w:type="dxa"/>
          </w:tcPr>
          <w:p w14:paraId="4EF572A8" w14:textId="77777777" w:rsidR="00527227" w:rsidRPr="003028D0" w:rsidRDefault="00527227" w:rsidP="00527227">
            <w:pPr>
              <w:jc w:val="right"/>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2014. gads</w:t>
            </w:r>
          </w:p>
        </w:tc>
        <w:tc>
          <w:tcPr>
            <w:tcW w:w="694" w:type="dxa"/>
          </w:tcPr>
          <w:p w14:paraId="393C6721" w14:textId="77777777" w:rsidR="00527227" w:rsidRPr="003028D0" w:rsidRDefault="00527227" w:rsidP="005272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5D4D3D7F"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-1,0</w:t>
            </w:r>
          </w:p>
        </w:tc>
        <w:tc>
          <w:tcPr>
            <w:tcW w:w="851" w:type="dxa"/>
          </w:tcPr>
          <w:p w14:paraId="773D092D"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-0,8</w:t>
            </w:r>
          </w:p>
        </w:tc>
        <w:tc>
          <w:tcPr>
            <w:tcW w:w="850" w:type="dxa"/>
          </w:tcPr>
          <w:p w14:paraId="7B95ED98"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-0,7</w:t>
            </w:r>
          </w:p>
        </w:tc>
        <w:tc>
          <w:tcPr>
            <w:tcW w:w="851" w:type="dxa"/>
          </w:tcPr>
          <w:p w14:paraId="41C8CFF0"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-0,7</w:t>
            </w:r>
          </w:p>
        </w:tc>
        <w:tc>
          <w:tcPr>
            <w:tcW w:w="850" w:type="dxa"/>
          </w:tcPr>
          <w:p w14:paraId="4FDDFD6F"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w:t>
            </w:r>
          </w:p>
        </w:tc>
      </w:tr>
      <w:tr w:rsidR="003028D0" w:rsidRPr="003028D0" w14:paraId="5B2F9426" w14:textId="77777777" w:rsidTr="00302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6" w:type="dxa"/>
          </w:tcPr>
          <w:p w14:paraId="30237AFE" w14:textId="77777777" w:rsidR="00527227" w:rsidRPr="003028D0" w:rsidRDefault="00527227" w:rsidP="00527227">
            <w:pPr>
              <w:jc w:val="right"/>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2015. gads</w:t>
            </w:r>
          </w:p>
        </w:tc>
        <w:tc>
          <w:tcPr>
            <w:tcW w:w="694" w:type="dxa"/>
          </w:tcPr>
          <w:p w14:paraId="5C3235E4" w14:textId="77777777" w:rsidR="00527227" w:rsidRPr="003028D0" w:rsidRDefault="00527227" w:rsidP="00527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0D4A60F2"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-1,4</w:t>
            </w:r>
          </w:p>
        </w:tc>
        <w:tc>
          <w:tcPr>
            <w:tcW w:w="851" w:type="dxa"/>
          </w:tcPr>
          <w:p w14:paraId="7975D3B7"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-1,5</w:t>
            </w:r>
          </w:p>
        </w:tc>
        <w:tc>
          <w:tcPr>
            <w:tcW w:w="850" w:type="dxa"/>
          </w:tcPr>
          <w:p w14:paraId="38480F56"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-1,6</w:t>
            </w:r>
          </w:p>
        </w:tc>
        <w:tc>
          <w:tcPr>
            <w:tcW w:w="851" w:type="dxa"/>
          </w:tcPr>
          <w:p w14:paraId="3F8139D2"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-1,3</w:t>
            </w:r>
          </w:p>
        </w:tc>
        <w:tc>
          <w:tcPr>
            <w:tcW w:w="850" w:type="dxa"/>
          </w:tcPr>
          <w:p w14:paraId="5B94167D"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-1,7</w:t>
            </w:r>
          </w:p>
        </w:tc>
      </w:tr>
      <w:tr w:rsidR="003028D0" w:rsidRPr="003028D0" w14:paraId="00D20520" w14:textId="77777777" w:rsidTr="003028D0">
        <w:trPr>
          <w:jc w:val="center"/>
        </w:trPr>
        <w:tc>
          <w:tcPr>
            <w:cnfStyle w:val="001000000000" w:firstRow="0" w:lastRow="0" w:firstColumn="1" w:lastColumn="0" w:oddVBand="0" w:evenVBand="0" w:oddHBand="0" w:evenHBand="0" w:firstRowFirstColumn="0" w:firstRowLastColumn="0" w:lastRowFirstColumn="0" w:lastRowLastColumn="0"/>
            <w:tcW w:w="4046" w:type="dxa"/>
          </w:tcPr>
          <w:p w14:paraId="4B534E5F" w14:textId="77777777" w:rsidR="00527227" w:rsidRPr="003028D0" w:rsidRDefault="00527227" w:rsidP="00527227">
            <w:pPr>
              <w:jc w:val="right"/>
              <w:rPr>
                <w:rFonts w:ascii="Times New Roman" w:hAnsi="Times New Roman" w:cs="Times New Roman"/>
                <w:b w:val="0"/>
                <w:snapToGrid w:val="0"/>
                <w:color w:val="auto"/>
                <w:sz w:val="20"/>
                <w:szCs w:val="20"/>
              </w:rPr>
            </w:pPr>
            <w:r w:rsidRPr="003028D0">
              <w:rPr>
                <w:rFonts w:ascii="Times New Roman" w:hAnsi="Times New Roman" w:cs="Times New Roman"/>
                <w:b w:val="0"/>
                <w:snapToGrid w:val="0"/>
                <w:color w:val="auto"/>
                <w:sz w:val="20"/>
                <w:szCs w:val="20"/>
              </w:rPr>
              <w:t>Izmaiņas</w:t>
            </w:r>
          </w:p>
        </w:tc>
        <w:tc>
          <w:tcPr>
            <w:tcW w:w="694" w:type="dxa"/>
          </w:tcPr>
          <w:p w14:paraId="55F260D0" w14:textId="77777777" w:rsidR="00527227" w:rsidRPr="003028D0" w:rsidRDefault="00527227" w:rsidP="005272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4E78DE48"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-0,4</w:t>
            </w:r>
          </w:p>
        </w:tc>
        <w:tc>
          <w:tcPr>
            <w:tcW w:w="851" w:type="dxa"/>
          </w:tcPr>
          <w:p w14:paraId="0DF45E61"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-0,7</w:t>
            </w:r>
          </w:p>
        </w:tc>
        <w:tc>
          <w:tcPr>
            <w:tcW w:w="850" w:type="dxa"/>
          </w:tcPr>
          <w:p w14:paraId="72D56A21"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-0,9</w:t>
            </w:r>
          </w:p>
        </w:tc>
        <w:tc>
          <w:tcPr>
            <w:tcW w:w="851" w:type="dxa"/>
          </w:tcPr>
          <w:p w14:paraId="00556B5A"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-0,6</w:t>
            </w:r>
          </w:p>
        </w:tc>
        <w:tc>
          <w:tcPr>
            <w:tcW w:w="850" w:type="dxa"/>
          </w:tcPr>
          <w:p w14:paraId="68041CCE"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0"/>
                <w:szCs w:val="20"/>
              </w:rPr>
            </w:pPr>
            <w:r w:rsidRPr="003028D0">
              <w:rPr>
                <w:rFonts w:ascii="Times New Roman" w:eastAsia="Arial Unicode MS" w:hAnsi="Times New Roman" w:cs="Times New Roman"/>
                <w:color w:val="auto"/>
                <w:sz w:val="20"/>
                <w:szCs w:val="20"/>
              </w:rPr>
              <w:t>-</w:t>
            </w:r>
          </w:p>
        </w:tc>
      </w:tr>
      <w:tr w:rsidR="003028D0" w:rsidRPr="003028D0" w14:paraId="72474E1C" w14:textId="77777777" w:rsidTr="003028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6" w:type="dxa"/>
          </w:tcPr>
          <w:p w14:paraId="141B48E9" w14:textId="77777777" w:rsidR="00527227" w:rsidRPr="003028D0" w:rsidRDefault="00527227" w:rsidP="00527227">
            <w:pPr>
              <w:rPr>
                <w:rFonts w:ascii="Times New Roman" w:hAnsi="Times New Roman" w:cs="Times New Roman"/>
                <w:snapToGrid w:val="0"/>
                <w:color w:val="auto"/>
                <w:sz w:val="20"/>
                <w:szCs w:val="20"/>
              </w:rPr>
            </w:pPr>
            <w:r w:rsidRPr="003028D0">
              <w:rPr>
                <w:rFonts w:ascii="Times New Roman" w:hAnsi="Times New Roman" w:cs="Times New Roman"/>
                <w:color w:val="auto"/>
                <w:sz w:val="20"/>
                <w:szCs w:val="20"/>
              </w:rPr>
              <w:t>Vispārējās valdības kopējais parāds (% no IKP)</w:t>
            </w:r>
          </w:p>
        </w:tc>
        <w:tc>
          <w:tcPr>
            <w:tcW w:w="694" w:type="dxa"/>
          </w:tcPr>
          <w:p w14:paraId="75C8D388" w14:textId="77777777" w:rsidR="00527227" w:rsidRPr="003028D0" w:rsidRDefault="00527227" w:rsidP="00527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3467F949" w14:textId="77777777" w:rsidR="00527227" w:rsidRPr="003028D0" w:rsidRDefault="00527227"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1" w:type="dxa"/>
          </w:tcPr>
          <w:p w14:paraId="13D344E8" w14:textId="77777777" w:rsidR="00527227" w:rsidRPr="003028D0" w:rsidRDefault="00527227"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2B073486" w14:textId="77777777" w:rsidR="00527227" w:rsidRPr="003028D0" w:rsidRDefault="00527227"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1" w:type="dxa"/>
          </w:tcPr>
          <w:p w14:paraId="4E76D404" w14:textId="77777777" w:rsidR="00527227" w:rsidRPr="003028D0" w:rsidRDefault="00527227"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0"/>
                <w:szCs w:val="20"/>
              </w:rPr>
            </w:pPr>
          </w:p>
        </w:tc>
        <w:tc>
          <w:tcPr>
            <w:tcW w:w="850" w:type="dxa"/>
          </w:tcPr>
          <w:p w14:paraId="3FB08767"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3028D0" w:rsidRPr="003028D0" w14:paraId="772ED682" w14:textId="77777777" w:rsidTr="003028D0">
        <w:trPr>
          <w:jc w:val="center"/>
        </w:trPr>
        <w:tc>
          <w:tcPr>
            <w:cnfStyle w:val="001000000000" w:firstRow="0" w:lastRow="0" w:firstColumn="1" w:lastColumn="0" w:oddVBand="0" w:evenVBand="0" w:oddHBand="0" w:evenHBand="0" w:firstRowFirstColumn="0" w:firstRowLastColumn="0" w:lastRowFirstColumn="0" w:lastRowLastColumn="0"/>
            <w:tcW w:w="4046" w:type="dxa"/>
          </w:tcPr>
          <w:p w14:paraId="348C8441" w14:textId="77777777" w:rsidR="00527227" w:rsidRPr="003028D0" w:rsidRDefault="00527227" w:rsidP="00527227">
            <w:pPr>
              <w:jc w:val="right"/>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2014. gads</w:t>
            </w:r>
          </w:p>
        </w:tc>
        <w:tc>
          <w:tcPr>
            <w:tcW w:w="694" w:type="dxa"/>
          </w:tcPr>
          <w:p w14:paraId="0DBA83AA" w14:textId="77777777" w:rsidR="00527227" w:rsidRPr="003028D0" w:rsidRDefault="00527227" w:rsidP="005272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4759C043"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38,8</w:t>
            </w:r>
          </w:p>
        </w:tc>
        <w:tc>
          <w:tcPr>
            <w:tcW w:w="851" w:type="dxa"/>
          </w:tcPr>
          <w:p w14:paraId="5931AA52"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32,9</w:t>
            </w:r>
          </w:p>
        </w:tc>
        <w:tc>
          <w:tcPr>
            <w:tcW w:w="850" w:type="dxa"/>
          </w:tcPr>
          <w:p w14:paraId="615FFFC7"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34,2</w:t>
            </w:r>
          </w:p>
        </w:tc>
        <w:tc>
          <w:tcPr>
            <w:tcW w:w="851" w:type="dxa"/>
          </w:tcPr>
          <w:p w14:paraId="3AE45607" w14:textId="77777777" w:rsidR="00527227" w:rsidRPr="003028D0" w:rsidRDefault="00527227" w:rsidP="0052722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31,3</w:t>
            </w:r>
          </w:p>
        </w:tc>
        <w:tc>
          <w:tcPr>
            <w:tcW w:w="850" w:type="dxa"/>
          </w:tcPr>
          <w:p w14:paraId="64C51120" w14:textId="77777777" w:rsidR="00527227" w:rsidRPr="003028D0" w:rsidRDefault="00527227"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w:t>
            </w:r>
          </w:p>
        </w:tc>
      </w:tr>
      <w:tr w:rsidR="003028D0" w:rsidRPr="003028D0" w14:paraId="1F5552A0" w14:textId="77777777" w:rsidTr="003028D0">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4046" w:type="dxa"/>
          </w:tcPr>
          <w:p w14:paraId="5AE829EB" w14:textId="77777777" w:rsidR="00527227" w:rsidRPr="003028D0" w:rsidRDefault="00527227" w:rsidP="00527227">
            <w:pPr>
              <w:jc w:val="right"/>
              <w:rPr>
                <w:rFonts w:ascii="Times New Roman" w:hAnsi="Times New Roman" w:cs="Times New Roman"/>
                <w:b w:val="0"/>
                <w:color w:val="auto"/>
                <w:sz w:val="20"/>
                <w:szCs w:val="20"/>
              </w:rPr>
            </w:pPr>
            <w:r w:rsidRPr="003028D0">
              <w:rPr>
                <w:rFonts w:ascii="Times New Roman" w:hAnsi="Times New Roman" w:cs="Times New Roman"/>
                <w:b w:val="0"/>
                <w:color w:val="auto"/>
                <w:sz w:val="20"/>
                <w:szCs w:val="20"/>
              </w:rPr>
              <w:t>2015. gads</w:t>
            </w:r>
          </w:p>
        </w:tc>
        <w:tc>
          <w:tcPr>
            <w:tcW w:w="694" w:type="dxa"/>
          </w:tcPr>
          <w:p w14:paraId="179CFD68" w14:textId="77777777" w:rsidR="00527227" w:rsidRPr="003028D0" w:rsidRDefault="00527227" w:rsidP="00527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tcPr>
          <w:p w14:paraId="7CB23ADF" w14:textId="77777777" w:rsidR="00527227" w:rsidRPr="003028D0" w:rsidRDefault="00527227" w:rsidP="00527227">
            <w:pPr>
              <w:tabs>
                <w:tab w:val="decimal" w:pos="33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40,0</w:t>
            </w:r>
          </w:p>
        </w:tc>
        <w:tc>
          <w:tcPr>
            <w:tcW w:w="851" w:type="dxa"/>
          </w:tcPr>
          <w:p w14:paraId="5C8970C6"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37,0</w:t>
            </w:r>
          </w:p>
        </w:tc>
        <w:tc>
          <w:tcPr>
            <w:tcW w:w="850" w:type="dxa"/>
          </w:tcPr>
          <w:p w14:paraId="1FB84E33"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40,0</w:t>
            </w:r>
          </w:p>
        </w:tc>
        <w:tc>
          <w:tcPr>
            <w:tcW w:w="851" w:type="dxa"/>
          </w:tcPr>
          <w:p w14:paraId="7C9CAE13"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37,3</w:t>
            </w:r>
          </w:p>
        </w:tc>
        <w:tc>
          <w:tcPr>
            <w:tcW w:w="850" w:type="dxa"/>
          </w:tcPr>
          <w:p w14:paraId="21CF0DE8" w14:textId="77777777" w:rsidR="00527227" w:rsidRPr="003028D0" w:rsidRDefault="00527227" w:rsidP="00527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34,1</w:t>
            </w:r>
          </w:p>
        </w:tc>
      </w:tr>
      <w:tr w:rsidR="003028D0" w:rsidRPr="003028D0" w14:paraId="7939DB0C" w14:textId="77777777" w:rsidTr="003028D0">
        <w:trPr>
          <w:jc w:val="center"/>
        </w:trPr>
        <w:tc>
          <w:tcPr>
            <w:cnfStyle w:val="001000000000" w:firstRow="0" w:lastRow="0" w:firstColumn="1" w:lastColumn="0" w:oddVBand="0" w:evenVBand="0" w:oddHBand="0" w:evenHBand="0" w:firstRowFirstColumn="0" w:firstRowLastColumn="0" w:lastRowFirstColumn="0" w:lastRowLastColumn="0"/>
            <w:tcW w:w="4046" w:type="dxa"/>
          </w:tcPr>
          <w:p w14:paraId="274F99B2" w14:textId="77777777" w:rsidR="00527227" w:rsidRPr="003028D0" w:rsidRDefault="00527227" w:rsidP="00527227">
            <w:pPr>
              <w:jc w:val="right"/>
              <w:rPr>
                <w:rFonts w:ascii="Times New Roman" w:hAnsi="Times New Roman" w:cs="Times New Roman"/>
                <w:b w:val="0"/>
                <w:snapToGrid w:val="0"/>
                <w:color w:val="auto"/>
                <w:sz w:val="20"/>
                <w:szCs w:val="20"/>
              </w:rPr>
            </w:pPr>
            <w:r w:rsidRPr="003028D0">
              <w:rPr>
                <w:rFonts w:ascii="Times New Roman" w:hAnsi="Times New Roman" w:cs="Times New Roman"/>
                <w:b w:val="0"/>
                <w:snapToGrid w:val="0"/>
                <w:color w:val="auto"/>
                <w:sz w:val="20"/>
                <w:szCs w:val="20"/>
              </w:rPr>
              <w:t>Izmaiņas</w:t>
            </w:r>
          </w:p>
        </w:tc>
        <w:tc>
          <w:tcPr>
            <w:tcW w:w="694" w:type="dxa"/>
          </w:tcPr>
          <w:p w14:paraId="33C805C6" w14:textId="77777777" w:rsidR="00527227" w:rsidRPr="003028D0" w:rsidRDefault="00527227" w:rsidP="005272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850" w:type="dxa"/>
          </w:tcPr>
          <w:p w14:paraId="1B925B0B" w14:textId="77777777" w:rsidR="00527227" w:rsidRPr="003028D0" w:rsidRDefault="00527227"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+1,2</w:t>
            </w:r>
          </w:p>
        </w:tc>
        <w:tc>
          <w:tcPr>
            <w:tcW w:w="851" w:type="dxa"/>
          </w:tcPr>
          <w:p w14:paraId="58BB6DDE" w14:textId="77777777" w:rsidR="00527227" w:rsidRPr="003028D0" w:rsidRDefault="00527227"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+4,1</w:t>
            </w:r>
          </w:p>
        </w:tc>
        <w:tc>
          <w:tcPr>
            <w:tcW w:w="850" w:type="dxa"/>
          </w:tcPr>
          <w:p w14:paraId="2972B252" w14:textId="77777777" w:rsidR="00527227" w:rsidRPr="003028D0" w:rsidRDefault="00527227"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+5,8</w:t>
            </w:r>
          </w:p>
        </w:tc>
        <w:tc>
          <w:tcPr>
            <w:tcW w:w="851" w:type="dxa"/>
          </w:tcPr>
          <w:p w14:paraId="302FB102" w14:textId="77777777" w:rsidR="00527227" w:rsidRPr="003028D0" w:rsidRDefault="00527227"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+6,0</w:t>
            </w:r>
          </w:p>
        </w:tc>
        <w:tc>
          <w:tcPr>
            <w:tcW w:w="850" w:type="dxa"/>
          </w:tcPr>
          <w:p w14:paraId="30A65C90" w14:textId="77777777" w:rsidR="00527227" w:rsidRPr="003028D0" w:rsidRDefault="00527227" w:rsidP="00527227">
            <w:pPr>
              <w:tabs>
                <w:tab w:val="decimal" w:pos="330"/>
              </w:tabs>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028D0">
              <w:rPr>
                <w:rFonts w:ascii="Times New Roman" w:hAnsi="Times New Roman" w:cs="Times New Roman"/>
                <w:color w:val="auto"/>
                <w:sz w:val="20"/>
                <w:szCs w:val="20"/>
              </w:rPr>
              <w:t>-</w:t>
            </w:r>
          </w:p>
        </w:tc>
      </w:tr>
    </w:tbl>
    <w:p w14:paraId="52CB51B8" w14:textId="77777777" w:rsidR="00527227" w:rsidRDefault="00527227" w:rsidP="00F51615">
      <w:pPr>
        <w:pStyle w:val="T"/>
        <w:ind w:left="0"/>
        <w:rPr>
          <w:rFonts w:ascii="Times New Roman" w:hAnsi="Times New Roman"/>
          <w:color w:val="000000"/>
          <w:szCs w:val="24"/>
        </w:rPr>
      </w:pPr>
    </w:p>
    <w:p w14:paraId="5C8441F5" w14:textId="2B1645B3" w:rsidR="00F51615" w:rsidRPr="00C81719" w:rsidRDefault="00F51615" w:rsidP="00F51615">
      <w:pPr>
        <w:spacing w:after="0"/>
        <w:rPr>
          <w:rFonts w:ascii="Times New Roman" w:hAnsi="Times New Roman" w:cs="Times New Roman"/>
          <w:sz w:val="24"/>
          <w:szCs w:val="24"/>
        </w:rPr>
      </w:pPr>
      <w:r w:rsidRPr="00F51615">
        <w:rPr>
          <w:rFonts w:ascii="Times New Roman" w:hAnsi="Times New Roman" w:cs="Times New Roman"/>
          <w:b/>
          <w:szCs w:val="24"/>
        </w:rPr>
        <w:br w:type="page"/>
      </w:r>
      <w:r w:rsidR="00C81719">
        <w:rPr>
          <w:rFonts w:ascii="Times New Roman" w:hAnsi="Times New Roman" w:cs="Times New Roman"/>
          <w:b/>
          <w:sz w:val="24"/>
          <w:szCs w:val="24"/>
        </w:rPr>
        <w:t>7.</w:t>
      </w:r>
      <w:r w:rsidRPr="00C81719">
        <w:rPr>
          <w:rFonts w:ascii="Times New Roman" w:hAnsi="Times New Roman" w:cs="Times New Roman"/>
          <w:b/>
          <w:sz w:val="24"/>
          <w:szCs w:val="24"/>
        </w:rPr>
        <w:t>tabula. Publisko finanšu ilgtspēja</w:t>
      </w:r>
      <w:r w:rsidR="003028D0" w:rsidRPr="00C81719">
        <w:rPr>
          <w:rStyle w:val="FootnoteReference"/>
          <w:rFonts w:ascii="Times New Roman" w:hAnsi="Times New Roman" w:cs="Times New Roman"/>
          <w:b/>
          <w:sz w:val="24"/>
          <w:szCs w:val="24"/>
        </w:rPr>
        <w:footnoteReference w:id="24"/>
      </w:r>
    </w:p>
    <w:p w14:paraId="325446BB" w14:textId="77777777" w:rsidR="00FA4740" w:rsidRDefault="00FA4740" w:rsidP="00F51615">
      <w:pPr>
        <w:spacing w:after="0"/>
        <w:rPr>
          <w:rFonts w:ascii="Times New Roman" w:hAnsi="Times New Roman" w:cs="Times New Roman"/>
          <w:szCs w:val="24"/>
        </w:rPr>
      </w:pPr>
    </w:p>
    <w:tbl>
      <w:tblPr>
        <w:tblStyle w:val="GridTable6ColorfulAccent1"/>
        <w:tblW w:w="9199" w:type="dxa"/>
        <w:jc w:val="center"/>
        <w:tblLayout w:type="fixed"/>
        <w:tblLook w:val="04A0" w:firstRow="1" w:lastRow="0" w:firstColumn="1" w:lastColumn="0" w:noHBand="0" w:noVBand="1"/>
      </w:tblPr>
      <w:tblGrid>
        <w:gridCol w:w="4252"/>
        <w:gridCol w:w="695"/>
        <w:gridCol w:w="708"/>
        <w:gridCol w:w="709"/>
        <w:gridCol w:w="709"/>
        <w:gridCol w:w="709"/>
        <w:gridCol w:w="708"/>
        <w:gridCol w:w="709"/>
      </w:tblGrid>
      <w:tr w:rsidR="003028D0" w:rsidRPr="003028D0" w14:paraId="6E9E4FEA" w14:textId="77777777" w:rsidTr="003028D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52" w:type="dxa"/>
            <w:vAlign w:val="center"/>
            <w:hideMark/>
          </w:tcPr>
          <w:p w14:paraId="1DBEB084" w14:textId="5C24FD50" w:rsidR="003D38BE" w:rsidRPr="003028D0" w:rsidRDefault="003D38BE" w:rsidP="003028D0">
            <w:pPr>
              <w:jc w:val="center"/>
              <w:rPr>
                <w:rFonts w:ascii="Times New Roman" w:eastAsia="Times New Roman" w:hAnsi="Times New Roman" w:cs="Times New Roman"/>
                <w:color w:val="auto"/>
                <w:sz w:val="20"/>
                <w:szCs w:val="20"/>
                <w:lang w:eastAsia="lv-LV"/>
              </w:rPr>
            </w:pPr>
          </w:p>
        </w:tc>
        <w:tc>
          <w:tcPr>
            <w:tcW w:w="695" w:type="dxa"/>
            <w:noWrap/>
            <w:vAlign w:val="center"/>
            <w:hideMark/>
          </w:tcPr>
          <w:p w14:paraId="37866FB3" w14:textId="77777777" w:rsidR="003D38BE" w:rsidRPr="003028D0" w:rsidRDefault="003D38B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2013</w:t>
            </w:r>
          </w:p>
        </w:tc>
        <w:tc>
          <w:tcPr>
            <w:tcW w:w="708" w:type="dxa"/>
            <w:noWrap/>
            <w:vAlign w:val="center"/>
            <w:hideMark/>
          </w:tcPr>
          <w:p w14:paraId="3B780543" w14:textId="77777777" w:rsidR="003D38BE" w:rsidRPr="003028D0" w:rsidRDefault="003D38B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2015</w:t>
            </w:r>
          </w:p>
        </w:tc>
        <w:tc>
          <w:tcPr>
            <w:tcW w:w="709" w:type="dxa"/>
            <w:noWrap/>
            <w:vAlign w:val="center"/>
            <w:hideMark/>
          </w:tcPr>
          <w:p w14:paraId="066EB003" w14:textId="77777777" w:rsidR="003D38BE" w:rsidRPr="003028D0" w:rsidRDefault="003D38B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2020</w:t>
            </w:r>
          </w:p>
        </w:tc>
        <w:tc>
          <w:tcPr>
            <w:tcW w:w="709" w:type="dxa"/>
            <w:noWrap/>
            <w:vAlign w:val="center"/>
            <w:hideMark/>
          </w:tcPr>
          <w:p w14:paraId="5F63204E" w14:textId="77777777" w:rsidR="003D38BE" w:rsidRPr="003028D0" w:rsidRDefault="003D38B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2030</w:t>
            </w:r>
          </w:p>
        </w:tc>
        <w:tc>
          <w:tcPr>
            <w:tcW w:w="709" w:type="dxa"/>
            <w:noWrap/>
            <w:vAlign w:val="center"/>
            <w:hideMark/>
          </w:tcPr>
          <w:p w14:paraId="78DB3988" w14:textId="77777777" w:rsidR="003D38BE" w:rsidRPr="003028D0" w:rsidRDefault="003D38B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2040</w:t>
            </w:r>
          </w:p>
        </w:tc>
        <w:tc>
          <w:tcPr>
            <w:tcW w:w="708" w:type="dxa"/>
            <w:noWrap/>
            <w:vAlign w:val="center"/>
            <w:hideMark/>
          </w:tcPr>
          <w:p w14:paraId="0D3B1783" w14:textId="77777777" w:rsidR="003D38BE" w:rsidRPr="003028D0" w:rsidRDefault="003D38B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2050</w:t>
            </w:r>
          </w:p>
        </w:tc>
        <w:tc>
          <w:tcPr>
            <w:tcW w:w="709" w:type="dxa"/>
            <w:noWrap/>
            <w:vAlign w:val="center"/>
            <w:hideMark/>
          </w:tcPr>
          <w:p w14:paraId="2F01AEDE" w14:textId="77777777" w:rsidR="003D38BE" w:rsidRPr="003028D0" w:rsidRDefault="003D38B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color w:val="auto"/>
                <w:sz w:val="20"/>
                <w:szCs w:val="20"/>
                <w:lang w:eastAsia="lv-LV"/>
              </w:rPr>
              <w:t>2060</w:t>
            </w:r>
          </w:p>
        </w:tc>
      </w:tr>
      <w:tr w:rsidR="003028D0" w:rsidRPr="003028D0" w14:paraId="4800F0C3" w14:textId="77777777" w:rsidTr="003028D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9199" w:type="dxa"/>
            <w:gridSpan w:val="8"/>
            <w:hideMark/>
          </w:tcPr>
          <w:p w14:paraId="4A6CB8F8" w14:textId="77777777" w:rsidR="003D38BE" w:rsidRPr="003028D0" w:rsidRDefault="003D38BE" w:rsidP="003D38BE">
            <w:pPr>
              <w:rPr>
                <w:rFonts w:ascii="Times New Roman" w:eastAsia="Times New Roman" w:hAnsi="Times New Roman" w:cs="Times New Roman"/>
                <w:b w:val="0"/>
                <w:bCs w:val="0"/>
                <w:color w:val="auto"/>
                <w:sz w:val="20"/>
                <w:szCs w:val="20"/>
                <w:lang w:eastAsia="lv-LV"/>
              </w:rPr>
            </w:pPr>
            <w:r w:rsidRPr="003028D0">
              <w:rPr>
                <w:rFonts w:ascii="Times New Roman" w:eastAsia="Times New Roman" w:hAnsi="Times New Roman" w:cs="Times New Roman"/>
                <w:b w:val="0"/>
                <w:color w:val="auto"/>
                <w:sz w:val="20"/>
                <w:szCs w:val="20"/>
                <w:lang w:eastAsia="lv-LV"/>
              </w:rPr>
              <w:t>Pieņēmumi</w:t>
            </w:r>
          </w:p>
        </w:tc>
      </w:tr>
      <w:tr w:rsidR="003028D0" w:rsidRPr="003028D0" w14:paraId="6DF583E8" w14:textId="77777777" w:rsidTr="003028D0">
        <w:trPr>
          <w:trHeight w:val="300"/>
          <w:jc w:val="center"/>
        </w:trPr>
        <w:tc>
          <w:tcPr>
            <w:cnfStyle w:val="001000000000" w:firstRow="0" w:lastRow="0" w:firstColumn="1" w:lastColumn="0" w:oddVBand="0" w:evenVBand="0" w:oddHBand="0" w:evenHBand="0" w:firstRowFirstColumn="0" w:firstRowLastColumn="0" w:lastRowFirstColumn="0" w:lastRowLastColumn="0"/>
            <w:tcW w:w="4252" w:type="dxa"/>
            <w:hideMark/>
          </w:tcPr>
          <w:p w14:paraId="67214D8B" w14:textId="77777777" w:rsidR="003D38BE" w:rsidRPr="003028D0" w:rsidRDefault="003D38BE" w:rsidP="003D38BE">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Darba produktivitātes (stundā) pieaugums, %</w:t>
            </w:r>
          </w:p>
        </w:tc>
        <w:tc>
          <w:tcPr>
            <w:tcW w:w="695" w:type="dxa"/>
            <w:noWrap/>
            <w:vAlign w:val="center"/>
            <w:hideMark/>
          </w:tcPr>
          <w:p w14:paraId="03A8AC22"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2,4</w:t>
            </w:r>
          </w:p>
        </w:tc>
        <w:tc>
          <w:tcPr>
            <w:tcW w:w="708" w:type="dxa"/>
            <w:noWrap/>
            <w:vAlign w:val="center"/>
            <w:hideMark/>
          </w:tcPr>
          <w:p w14:paraId="78E057A2"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2,6</w:t>
            </w:r>
          </w:p>
        </w:tc>
        <w:tc>
          <w:tcPr>
            <w:tcW w:w="709" w:type="dxa"/>
            <w:noWrap/>
            <w:vAlign w:val="center"/>
            <w:hideMark/>
          </w:tcPr>
          <w:p w14:paraId="518EE666"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4,0</w:t>
            </w:r>
          </w:p>
        </w:tc>
        <w:tc>
          <w:tcPr>
            <w:tcW w:w="709" w:type="dxa"/>
            <w:noWrap/>
            <w:vAlign w:val="center"/>
            <w:hideMark/>
          </w:tcPr>
          <w:p w14:paraId="7229BD54"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2,4</w:t>
            </w:r>
          </w:p>
        </w:tc>
        <w:tc>
          <w:tcPr>
            <w:tcW w:w="709" w:type="dxa"/>
            <w:noWrap/>
            <w:vAlign w:val="center"/>
            <w:hideMark/>
          </w:tcPr>
          <w:p w14:paraId="46513D65"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1,9</w:t>
            </w:r>
          </w:p>
        </w:tc>
        <w:tc>
          <w:tcPr>
            <w:tcW w:w="708" w:type="dxa"/>
            <w:noWrap/>
            <w:vAlign w:val="center"/>
            <w:hideMark/>
          </w:tcPr>
          <w:p w14:paraId="35AD2B87"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1,8</w:t>
            </w:r>
          </w:p>
        </w:tc>
        <w:tc>
          <w:tcPr>
            <w:tcW w:w="709" w:type="dxa"/>
            <w:noWrap/>
            <w:vAlign w:val="center"/>
            <w:hideMark/>
          </w:tcPr>
          <w:p w14:paraId="4F6B99BB"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1,5</w:t>
            </w:r>
          </w:p>
        </w:tc>
      </w:tr>
      <w:tr w:rsidR="003028D0" w:rsidRPr="003028D0" w14:paraId="152051D3" w14:textId="77777777" w:rsidTr="003028D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52" w:type="dxa"/>
            <w:hideMark/>
          </w:tcPr>
          <w:p w14:paraId="7ED24779" w14:textId="77777777" w:rsidR="003D38BE" w:rsidRPr="003028D0" w:rsidRDefault="003D38BE" w:rsidP="003D38BE">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Potenciālā IKP pieaugums, % salīdzināmās cenās</w:t>
            </w:r>
          </w:p>
        </w:tc>
        <w:tc>
          <w:tcPr>
            <w:tcW w:w="695" w:type="dxa"/>
            <w:noWrap/>
            <w:vAlign w:val="center"/>
            <w:hideMark/>
          </w:tcPr>
          <w:p w14:paraId="640CF83F"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1,9</w:t>
            </w:r>
          </w:p>
        </w:tc>
        <w:tc>
          <w:tcPr>
            <w:tcW w:w="708" w:type="dxa"/>
            <w:noWrap/>
            <w:vAlign w:val="center"/>
            <w:hideMark/>
          </w:tcPr>
          <w:p w14:paraId="609C7C80"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2,9</w:t>
            </w:r>
          </w:p>
        </w:tc>
        <w:tc>
          <w:tcPr>
            <w:tcW w:w="709" w:type="dxa"/>
            <w:noWrap/>
            <w:vAlign w:val="center"/>
            <w:hideMark/>
          </w:tcPr>
          <w:p w14:paraId="6E611EC0"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2,6</w:t>
            </w:r>
          </w:p>
        </w:tc>
        <w:tc>
          <w:tcPr>
            <w:tcW w:w="709" w:type="dxa"/>
            <w:noWrap/>
            <w:vAlign w:val="center"/>
            <w:hideMark/>
          </w:tcPr>
          <w:p w14:paraId="1EE5AD4E"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1,1</w:t>
            </w:r>
          </w:p>
        </w:tc>
        <w:tc>
          <w:tcPr>
            <w:tcW w:w="709" w:type="dxa"/>
            <w:noWrap/>
            <w:vAlign w:val="center"/>
            <w:hideMark/>
          </w:tcPr>
          <w:p w14:paraId="6C363F0F"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1,3</w:t>
            </w:r>
          </w:p>
        </w:tc>
        <w:tc>
          <w:tcPr>
            <w:tcW w:w="708" w:type="dxa"/>
            <w:noWrap/>
            <w:vAlign w:val="center"/>
            <w:hideMark/>
          </w:tcPr>
          <w:p w14:paraId="781E055A"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0,9</w:t>
            </w:r>
          </w:p>
        </w:tc>
        <w:tc>
          <w:tcPr>
            <w:tcW w:w="709" w:type="dxa"/>
            <w:noWrap/>
            <w:vAlign w:val="center"/>
            <w:hideMark/>
          </w:tcPr>
          <w:p w14:paraId="32C044E8"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1,6</w:t>
            </w:r>
          </w:p>
        </w:tc>
      </w:tr>
      <w:tr w:rsidR="003028D0" w:rsidRPr="003028D0" w14:paraId="0DE6CD0E" w14:textId="77777777" w:rsidTr="003028D0">
        <w:trPr>
          <w:trHeight w:val="300"/>
          <w:jc w:val="center"/>
        </w:trPr>
        <w:tc>
          <w:tcPr>
            <w:cnfStyle w:val="001000000000" w:firstRow="0" w:lastRow="0" w:firstColumn="1" w:lastColumn="0" w:oddVBand="0" w:evenVBand="0" w:oddHBand="0" w:evenHBand="0" w:firstRowFirstColumn="0" w:firstRowLastColumn="0" w:lastRowFirstColumn="0" w:lastRowLastColumn="0"/>
            <w:tcW w:w="4252" w:type="dxa"/>
            <w:hideMark/>
          </w:tcPr>
          <w:p w14:paraId="13EFC174" w14:textId="77777777" w:rsidR="003D38BE" w:rsidRPr="003028D0" w:rsidRDefault="003D38BE" w:rsidP="003D38BE">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Līdzdalības līmenis, vīrieši (vecuma grupa 20-64)</w:t>
            </w:r>
          </w:p>
        </w:tc>
        <w:tc>
          <w:tcPr>
            <w:tcW w:w="695" w:type="dxa"/>
            <w:noWrap/>
            <w:vAlign w:val="center"/>
            <w:hideMark/>
          </w:tcPr>
          <w:p w14:paraId="6FDD42A6"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82,7</w:t>
            </w:r>
          </w:p>
        </w:tc>
        <w:tc>
          <w:tcPr>
            <w:tcW w:w="708" w:type="dxa"/>
            <w:noWrap/>
            <w:vAlign w:val="center"/>
            <w:hideMark/>
          </w:tcPr>
          <w:p w14:paraId="1652CD66"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83,6</w:t>
            </w:r>
          </w:p>
        </w:tc>
        <w:tc>
          <w:tcPr>
            <w:tcW w:w="709" w:type="dxa"/>
            <w:noWrap/>
            <w:vAlign w:val="center"/>
            <w:hideMark/>
          </w:tcPr>
          <w:p w14:paraId="019E7589"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84,1</w:t>
            </w:r>
          </w:p>
        </w:tc>
        <w:tc>
          <w:tcPr>
            <w:tcW w:w="709" w:type="dxa"/>
            <w:noWrap/>
            <w:vAlign w:val="center"/>
            <w:hideMark/>
          </w:tcPr>
          <w:p w14:paraId="370FB414"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84,7</w:t>
            </w:r>
          </w:p>
        </w:tc>
        <w:tc>
          <w:tcPr>
            <w:tcW w:w="709" w:type="dxa"/>
            <w:noWrap/>
            <w:vAlign w:val="center"/>
            <w:hideMark/>
          </w:tcPr>
          <w:p w14:paraId="707C3CA7"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84,9</w:t>
            </w:r>
          </w:p>
        </w:tc>
        <w:tc>
          <w:tcPr>
            <w:tcW w:w="708" w:type="dxa"/>
            <w:noWrap/>
            <w:vAlign w:val="center"/>
            <w:hideMark/>
          </w:tcPr>
          <w:p w14:paraId="692FD2B8"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84,8</w:t>
            </w:r>
          </w:p>
        </w:tc>
        <w:tc>
          <w:tcPr>
            <w:tcW w:w="709" w:type="dxa"/>
            <w:noWrap/>
            <w:vAlign w:val="center"/>
            <w:hideMark/>
          </w:tcPr>
          <w:p w14:paraId="6AB3C704"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86,4</w:t>
            </w:r>
          </w:p>
        </w:tc>
      </w:tr>
      <w:tr w:rsidR="003028D0" w:rsidRPr="003028D0" w14:paraId="296320F4" w14:textId="77777777" w:rsidTr="003028D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52" w:type="dxa"/>
            <w:hideMark/>
          </w:tcPr>
          <w:p w14:paraId="6A555B70" w14:textId="77777777" w:rsidR="003D38BE" w:rsidRPr="003028D0" w:rsidRDefault="003D38BE" w:rsidP="003D38BE">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Līdzdalības līmenis, sievietes (vecuma grupa 20-64)</w:t>
            </w:r>
          </w:p>
        </w:tc>
        <w:tc>
          <w:tcPr>
            <w:tcW w:w="695" w:type="dxa"/>
            <w:noWrap/>
            <w:vAlign w:val="center"/>
            <w:hideMark/>
          </w:tcPr>
          <w:p w14:paraId="67A1D138"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76,2</w:t>
            </w:r>
          </w:p>
        </w:tc>
        <w:tc>
          <w:tcPr>
            <w:tcW w:w="708" w:type="dxa"/>
            <w:noWrap/>
            <w:vAlign w:val="center"/>
            <w:hideMark/>
          </w:tcPr>
          <w:p w14:paraId="45E44303"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77,2</w:t>
            </w:r>
          </w:p>
        </w:tc>
        <w:tc>
          <w:tcPr>
            <w:tcW w:w="709" w:type="dxa"/>
            <w:noWrap/>
            <w:vAlign w:val="center"/>
            <w:hideMark/>
          </w:tcPr>
          <w:p w14:paraId="60EB929E"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77,6</w:t>
            </w:r>
          </w:p>
        </w:tc>
        <w:tc>
          <w:tcPr>
            <w:tcW w:w="709" w:type="dxa"/>
            <w:noWrap/>
            <w:vAlign w:val="center"/>
            <w:hideMark/>
          </w:tcPr>
          <w:p w14:paraId="4864B102"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78,6</w:t>
            </w:r>
          </w:p>
        </w:tc>
        <w:tc>
          <w:tcPr>
            <w:tcW w:w="709" w:type="dxa"/>
            <w:noWrap/>
            <w:vAlign w:val="center"/>
            <w:hideMark/>
          </w:tcPr>
          <w:p w14:paraId="59E76BFF"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78,5</w:t>
            </w:r>
          </w:p>
        </w:tc>
        <w:tc>
          <w:tcPr>
            <w:tcW w:w="708" w:type="dxa"/>
            <w:noWrap/>
            <w:vAlign w:val="center"/>
            <w:hideMark/>
          </w:tcPr>
          <w:p w14:paraId="1E270069"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78,8</w:t>
            </w:r>
          </w:p>
        </w:tc>
        <w:tc>
          <w:tcPr>
            <w:tcW w:w="709" w:type="dxa"/>
            <w:noWrap/>
            <w:vAlign w:val="center"/>
            <w:hideMark/>
          </w:tcPr>
          <w:p w14:paraId="59478FC3"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80,6</w:t>
            </w:r>
          </w:p>
        </w:tc>
      </w:tr>
      <w:tr w:rsidR="003028D0" w:rsidRPr="003028D0" w14:paraId="6A5827AF" w14:textId="77777777" w:rsidTr="003028D0">
        <w:trPr>
          <w:trHeight w:val="300"/>
          <w:jc w:val="center"/>
        </w:trPr>
        <w:tc>
          <w:tcPr>
            <w:cnfStyle w:val="001000000000" w:firstRow="0" w:lastRow="0" w:firstColumn="1" w:lastColumn="0" w:oddVBand="0" w:evenVBand="0" w:oddHBand="0" w:evenHBand="0" w:firstRowFirstColumn="0" w:firstRowLastColumn="0" w:lastRowFirstColumn="0" w:lastRowLastColumn="0"/>
            <w:tcW w:w="4252" w:type="dxa"/>
            <w:hideMark/>
          </w:tcPr>
          <w:p w14:paraId="5AF406CF" w14:textId="77777777" w:rsidR="003D38BE" w:rsidRPr="003028D0" w:rsidRDefault="003D38BE" w:rsidP="003D38BE">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Līdzdalības līmenis, kopā (vecuma grupa 20-64)</w:t>
            </w:r>
          </w:p>
        </w:tc>
        <w:tc>
          <w:tcPr>
            <w:tcW w:w="695" w:type="dxa"/>
            <w:noWrap/>
            <w:vAlign w:val="center"/>
            <w:hideMark/>
          </w:tcPr>
          <w:p w14:paraId="5EB608B1"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79,3</w:t>
            </w:r>
          </w:p>
        </w:tc>
        <w:tc>
          <w:tcPr>
            <w:tcW w:w="708" w:type="dxa"/>
            <w:noWrap/>
            <w:vAlign w:val="center"/>
            <w:hideMark/>
          </w:tcPr>
          <w:p w14:paraId="087851CF"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80,3</w:t>
            </w:r>
          </w:p>
        </w:tc>
        <w:tc>
          <w:tcPr>
            <w:tcW w:w="709" w:type="dxa"/>
            <w:noWrap/>
            <w:vAlign w:val="center"/>
            <w:hideMark/>
          </w:tcPr>
          <w:p w14:paraId="0AE72E12"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80,8</w:t>
            </w:r>
          </w:p>
        </w:tc>
        <w:tc>
          <w:tcPr>
            <w:tcW w:w="709" w:type="dxa"/>
            <w:noWrap/>
            <w:vAlign w:val="center"/>
            <w:hideMark/>
          </w:tcPr>
          <w:p w14:paraId="61DF2109"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81,6</w:t>
            </w:r>
          </w:p>
        </w:tc>
        <w:tc>
          <w:tcPr>
            <w:tcW w:w="709" w:type="dxa"/>
            <w:noWrap/>
            <w:vAlign w:val="center"/>
            <w:hideMark/>
          </w:tcPr>
          <w:p w14:paraId="48032E76"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81,7</w:t>
            </w:r>
          </w:p>
        </w:tc>
        <w:tc>
          <w:tcPr>
            <w:tcW w:w="708" w:type="dxa"/>
            <w:noWrap/>
            <w:vAlign w:val="center"/>
            <w:hideMark/>
          </w:tcPr>
          <w:p w14:paraId="3D1A36B0"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81,8</w:t>
            </w:r>
          </w:p>
        </w:tc>
        <w:tc>
          <w:tcPr>
            <w:tcW w:w="709" w:type="dxa"/>
            <w:noWrap/>
            <w:vAlign w:val="center"/>
            <w:hideMark/>
          </w:tcPr>
          <w:p w14:paraId="31B0E544"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83,6</w:t>
            </w:r>
          </w:p>
        </w:tc>
      </w:tr>
      <w:tr w:rsidR="003028D0" w:rsidRPr="003028D0" w14:paraId="40EFD23B" w14:textId="77777777" w:rsidTr="003028D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52" w:type="dxa"/>
            <w:hideMark/>
          </w:tcPr>
          <w:p w14:paraId="52F75770" w14:textId="77777777" w:rsidR="003D38BE" w:rsidRPr="003028D0" w:rsidRDefault="003D38BE" w:rsidP="003D38BE">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Bezdarba līmenis (vecuma grupa 20-64)</w:t>
            </w:r>
          </w:p>
        </w:tc>
        <w:tc>
          <w:tcPr>
            <w:tcW w:w="695" w:type="dxa"/>
            <w:noWrap/>
            <w:vAlign w:val="center"/>
            <w:hideMark/>
          </w:tcPr>
          <w:p w14:paraId="75E24EFB"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11,9</w:t>
            </w:r>
          </w:p>
        </w:tc>
        <w:tc>
          <w:tcPr>
            <w:tcW w:w="708" w:type="dxa"/>
            <w:noWrap/>
            <w:vAlign w:val="center"/>
            <w:hideMark/>
          </w:tcPr>
          <w:p w14:paraId="05FCF796"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9,4</w:t>
            </w:r>
          </w:p>
        </w:tc>
        <w:tc>
          <w:tcPr>
            <w:tcW w:w="709" w:type="dxa"/>
            <w:noWrap/>
            <w:vAlign w:val="center"/>
            <w:hideMark/>
          </w:tcPr>
          <w:p w14:paraId="54B2E778"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12,2</w:t>
            </w:r>
          </w:p>
        </w:tc>
        <w:tc>
          <w:tcPr>
            <w:tcW w:w="709" w:type="dxa"/>
            <w:noWrap/>
            <w:vAlign w:val="center"/>
            <w:hideMark/>
          </w:tcPr>
          <w:p w14:paraId="6E66C659"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10,1</w:t>
            </w:r>
          </w:p>
        </w:tc>
        <w:tc>
          <w:tcPr>
            <w:tcW w:w="709" w:type="dxa"/>
            <w:noWrap/>
            <w:vAlign w:val="center"/>
            <w:hideMark/>
          </w:tcPr>
          <w:p w14:paraId="77D449C7"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7,3</w:t>
            </w:r>
          </w:p>
        </w:tc>
        <w:tc>
          <w:tcPr>
            <w:tcW w:w="708" w:type="dxa"/>
            <w:noWrap/>
            <w:vAlign w:val="center"/>
            <w:hideMark/>
          </w:tcPr>
          <w:p w14:paraId="261F4477"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7,3</w:t>
            </w:r>
          </w:p>
        </w:tc>
        <w:tc>
          <w:tcPr>
            <w:tcW w:w="709" w:type="dxa"/>
            <w:noWrap/>
            <w:vAlign w:val="center"/>
            <w:hideMark/>
          </w:tcPr>
          <w:p w14:paraId="189255BC" w14:textId="77777777" w:rsidR="003D38BE" w:rsidRPr="003028D0" w:rsidRDefault="003D38B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7,3</w:t>
            </w:r>
          </w:p>
        </w:tc>
      </w:tr>
      <w:tr w:rsidR="003028D0" w:rsidRPr="003028D0" w14:paraId="53B42020" w14:textId="77777777" w:rsidTr="003028D0">
        <w:trPr>
          <w:trHeight w:val="300"/>
          <w:jc w:val="center"/>
        </w:trPr>
        <w:tc>
          <w:tcPr>
            <w:cnfStyle w:val="001000000000" w:firstRow="0" w:lastRow="0" w:firstColumn="1" w:lastColumn="0" w:oddVBand="0" w:evenVBand="0" w:oddHBand="0" w:evenHBand="0" w:firstRowFirstColumn="0" w:firstRowLastColumn="0" w:lastRowFirstColumn="0" w:lastRowLastColumn="0"/>
            <w:tcW w:w="4252" w:type="dxa"/>
            <w:hideMark/>
          </w:tcPr>
          <w:p w14:paraId="4B60FF78" w14:textId="77777777" w:rsidR="003D38BE" w:rsidRPr="003028D0" w:rsidRDefault="003D38BE" w:rsidP="003D38BE">
            <w:pPr>
              <w:rPr>
                <w:rFonts w:ascii="Times New Roman" w:eastAsia="Times New Roman" w:hAnsi="Times New Roman" w:cs="Times New Roman"/>
                <w:b w:val="0"/>
                <w:color w:val="auto"/>
                <w:sz w:val="20"/>
                <w:szCs w:val="20"/>
                <w:lang w:eastAsia="lv-LV"/>
              </w:rPr>
            </w:pPr>
            <w:r w:rsidRPr="003028D0">
              <w:rPr>
                <w:rFonts w:ascii="Times New Roman" w:eastAsia="Times New Roman" w:hAnsi="Times New Roman" w:cs="Times New Roman"/>
                <w:b w:val="0"/>
                <w:color w:val="auto"/>
                <w:sz w:val="20"/>
                <w:szCs w:val="20"/>
                <w:lang w:eastAsia="lv-LV"/>
              </w:rPr>
              <w:t>Iedzīvotāji (vecuma grupa 65+) % no kopējā iedzīvotāju skaita</w:t>
            </w:r>
          </w:p>
        </w:tc>
        <w:tc>
          <w:tcPr>
            <w:tcW w:w="695" w:type="dxa"/>
            <w:noWrap/>
            <w:vAlign w:val="center"/>
            <w:hideMark/>
          </w:tcPr>
          <w:p w14:paraId="633576DC"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18,9</w:t>
            </w:r>
          </w:p>
        </w:tc>
        <w:tc>
          <w:tcPr>
            <w:tcW w:w="708" w:type="dxa"/>
            <w:noWrap/>
            <w:vAlign w:val="center"/>
            <w:hideMark/>
          </w:tcPr>
          <w:p w14:paraId="151DAEB7"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19,4</w:t>
            </w:r>
          </w:p>
        </w:tc>
        <w:tc>
          <w:tcPr>
            <w:tcW w:w="709" w:type="dxa"/>
            <w:noWrap/>
            <w:vAlign w:val="center"/>
            <w:hideMark/>
          </w:tcPr>
          <w:p w14:paraId="2EC45F53"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20,7</w:t>
            </w:r>
          </w:p>
        </w:tc>
        <w:tc>
          <w:tcPr>
            <w:tcW w:w="709" w:type="dxa"/>
            <w:noWrap/>
            <w:vAlign w:val="center"/>
            <w:hideMark/>
          </w:tcPr>
          <w:p w14:paraId="3E89B983"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25,5</w:t>
            </w:r>
          </w:p>
        </w:tc>
        <w:tc>
          <w:tcPr>
            <w:tcW w:w="709" w:type="dxa"/>
            <w:noWrap/>
            <w:vAlign w:val="center"/>
            <w:hideMark/>
          </w:tcPr>
          <w:p w14:paraId="449E9F92"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27,9</w:t>
            </w:r>
          </w:p>
        </w:tc>
        <w:tc>
          <w:tcPr>
            <w:tcW w:w="708" w:type="dxa"/>
            <w:noWrap/>
            <w:vAlign w:val="center"/>
            <w:hideMark/>
          </w:tcPr>
          <w:p w14:paraId="145C7ABC"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28,3</w:t>
            </w:r>
          </w:p>
        </w:tc>
        <w:tc>
          <w:tcPr>
            <w:tcW w:w="709" w:type="dxa"/>
            <w:noWrap/>
            <w:vAlign w:val="center"/>
            <w:hideMark/>
          </w:tcPr>
          <w:p w14:paraId="3ADD37D8" w14:textId="77777777" w:rsidR="003D38BE" w:rsidRPr="003028D0" w:rsidRDefault="003D38B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lv-LV"/>
              </w:rPr>
            </w:pPr>
            <w:r w:rsidRPr="003028D0">
              <w:rPr>
                <w:rFonts w:ascii="Times New Roman" w:eastAsia="Times New Roman" w:hAnsi="Times New Roman" w:cs="Times New Roman"/>
                <w:color w:val="auto"/>
                <w:sz w:val="20"/>
                <w:szCs w:val="20"/>
                <w:lang w:eastAsia="lv-LV"/>
              </w:rPr>
              <w:t>28,0</w:t>
            </w:r>
          </w:p>
        </w:tc>
      </w:tr>
    </w:tbl>
    <w:p w14:paraId="6A79A976" w14:textId="77777777" w:rsidR="003666E9" w:rsidRDefault="003666E9" w:rsidP="00F51615">
      <w:pPr>
        <w:rPr>
          <w:rFonts w:ascii="Times New Roman" w:hAnsi="Times New Roman" w:cs="Times New Roman"/>
        </w:rPr>
      </w:pPr>
    </w:p>
    <w:p w14:paraId="5866F1D4" w14:textId="107CB5ED" w:rsidR="003666E9" w:rsidRPr="00C81719" w:rsidRDefault="005A7265" w:rsidP="00F51615">
      <w:pPr>
        <w:rPr>
          <w:rFonts w:ascii="Times New Roman" w:hAnsi="Times New Roman" w:cs="Times New Roman"/>
          <w:sz w:val="24"/>
        </w:rPr>
      </w:pPr>
      <w:r w:rsidRPr="00C81719">
        <w:rPr>
          <w:rFonts w:ascii="Times New Roman" w:hAnsi="Times New Roman" w:cs="Times New Roman"/>
          <w:b/>
          <w:bCs/>
          <w:color w:val="000000"/>
          <w:sz w:val="24"/>
          <w:szCs w:val="24"/>
        </w:rPr>
        <w:t>7a.tabula</w:t>
      </w:r>
      <w:r w:rsidR="003666E9" w:rsidRPr="00C81719">
        <w:rPr>
          <w:rFonts w:ascii="Times New Roman" w:hAnsi="Times New Roman" w:cs="Times New Roman"/>
          <w:b/>
          <w:bCs/>
          <w:color w:val="000000"/>
          <w:sz w:val="24"/>
          <w:szCs w:val="24"/>
        </w:rPr>
        <w:t xml:space="preserve"> Netiešās saistības</w:t>
      </w:r>
    </w:p>
    <w:tbl>
      <w:tblPr>
        <w:tblStyle w:val="GridTable6ColorfulAccent1"/>
        <w:tblW w:w="0" w:type="auto"/>
        <w:tblLayout w:type="fixed"/>
        <w:tblLook w:val="04A0" w:firstRow="1" w:lastRow="0" w:firstColumn="1" w:lastColumn="0" w:noHBand="0" w:noVBand="1"/>
      </w:tblPr>
      <w:tblGrid>
        <w:gridCol w:w="3387"/>
        <w:gridCol w:w="993"/>
      </w:tblGrid>
      <w:tr w:rsidR="00F51615" w:rsidRPr="003028D0" w14:paraId="7F8ECC8F" w14:textId="77777777" w:rsidTr="003028D0">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387" w:type="dxa"/>
            <w:vAlign w:val="center"/>
          </w:tcPr>
          <w:p w14:paraId="00582EC8" w14:textId="77777777" w:rsidR="00F51615" w:rsidRPr="003028D0" w:rsidRDefault="00F51615" w:rsidP="003028D0">
            <w:pPr>
              <w:autoSpaceDE w:val="0"/>
              <w:autoSpaceDN w:val="0"/>
              <w:adjustRightInd w:val="0"/>
              <w:jc w:val="center"/>
              <w:rPr>
                <w:rFonts w:ascii="Times New Roman" w:hAnsi="Times New Roman" w:cs="Times New Roman"/>
                <w:color w:val="000000"/>
                <w:sz w:val="20"/>
                <w:szCs w:val="20"/>
              </w:rPr>
            </w:pPr>
            <w:r w:rsidRPr="003028D0">
              <w:rPr>
                <w:rFonts w:ascii="Times New Roman" w:hAnsi="Times New Roman" w:cs="Times New Roman"/>
                <w:color w:val="000000"/>
                <w:sz w:val="20"/>
                <w:szCs w:val="20"/>
              </w:rPr>
              <w:t>% no IKP</w:t>
            </w:r>
          </w:p>
        </w:tc>
        <w:tc>
          <w:tcPr>
            <w:tcW w:w="993" w:type="dxa"/>
            <w:vAlign w:val="center"/>
          </w:tcPr>
          <w:p w14:paraId="52075D30" w14:textId="77777777" w:rsidR="00F51615" w:rsidRPr="003028D0" w:rsidRDefault="003666E9" w:rsidP="003028D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sidRPr="003028D0">
              <w:rPr>
                <w:rFonts w:ascii="Times New Roman" w:hAnsi="Times New Roman" w:cs="Times New Roman"/>
                <w:color w:val="000000"/>
                <w:sz w:val="20"/>
                <w:szCs w:val="20"/>
              </w:rPr>
              <w:t>2014</w:t>
            </w:r>
          </w:p>
        </w:tc>
      </w:tr>
      <w:tr w:rsidR="00F51615" w:rsidRPr="003028D0" w14:paraId="1571DEFC" w14:textId="77777777" w:rsidTr="003028D0">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3387" w:type="dxa"/>
          </w:tcPr>
          <w:p w14:paraId="244A752C" w14:textId="1BF999B0" w:rsidR="00F51615" w:rsidRPr="003028D0" w:rsidRDefault="00FA4740" w:rsidP="00FA4740">
            <w:pPr>
              <w:rPr>
                <w:rFonts w:ascii="Times New Roman" w:hAnsi="Times New Roman" w:cs="Times New Roman"/>
                <w:b w:val="0"/>
                <w:bCs w:val="0"/>
                <w:color w:val="000000"/>
                <w:sz w:val="20"/>
                <w:szCs w:val="20"/>
              </w:rPr>
            </w:pPr>
            <w:r w:rsidRPr="003028D0">
              <w:rPr>
                <w:rFonts w:ascii="Times New Roman" w:hAnsi="Times New Roman" w:cs="Times New Roman"/>
                <w:b w:val="0"/>
                <w:color w:val="000000"/>
                <w:sz w:val="20"/>
                <w:szCs w:val="20"/>
              </w:rPr>
              <w:t>Valsts un pašvaldību garantijas</w:t>
            </w:r>
          </w:p>
        </w:tc>
        <w:tc>
          <w:tcPr>
            <w:tcW w:w="993" w:type="dxa"/>
          </w:tcPr>
          <w:p w14:paraId="577DF020" w14:textId="77777777" w:rsidR="00F51615" w:rsidRPr="003028D0" w:rsidRDefault="003666E9" w:rsidP="00232B1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3028D0">
              <w:rPr>
                <w:rFonts w:ascii="Times New Roman" w:hAnsi="Times New Roman" w:cs="Times New Roman"/>
                <w:b/>
                <w:bCs/>
                <w:color w:val="000000"/>
                <w:sz w:val="20"/>
                <w:szCs w:val="20"/>
              </w:rPr>
              <w:t>1,7</w:t>
            </w:r>
          </w:p>
        </w:tc>
      </w:tr>
      <w:tr w:rsidR="00F51615" w:rsidRPr="003028D0" w14:paraId="581C28AD" w14:textId="77777777" w:rsidTr="003028D0">
        <w:trPr>
          <w:trHeight w:val="133"/>
        </w:trPr>
        <w:tc>
          <w:tcPr>
            <w:cnfStyle w:val="001000000000" w:firstRow="0" w:lastRow="0" w:firstColumn="1" w:lastColumn="0" w:oddVBand="0" w:evenVBand="0" w:oddHBand="0" w:evenHBand="0" w:firstRowFirstColumn="0" w:firstRowLastColumn="0" w:lastRowFirstColumn="0" w:lastRowLastColumn="0"/>
            <w:tcW w:w="3387" w:type="dxa"/>
          </w:tcPr>
          <w:p w14:paraId="4C84177A" w14:textId="2D120030" w:rsidR="00F51615" w:rsidRPr="003028D0" w:rsidRDefault="00F51615" w:rsidP="00FA4740">
            <w:pPr>
              <w:rPr>
                <w:rFonts w:ascii="Times New Roman" w:hAnsi="Times New Roman" w:cs="Times New Roman"/>
                <w:b w:val="0"/>
                <w:i/>
                <w:iCs/>
                <w:color w:val="000000"/>
                <w:sz w:val="20"/>
                <w:szCs w:val="20"/>
              </w:rPr>
            </w:pPr>
            <w:r w:rsidRPr="003028D0">
              <w:rPr>
                <w:rFonts w:ascii="Times New Roman" w:hAnsi="Times New Roman" w:cs="Times New Roman"/>
                <w:b w:val="0"/>
                <w:i/>
                <w:iCs/>
                <w:color w:val="000000"/>
                <w:sz w:val="20"/>
                <w:szCs w:val="20"/>
              </w:rPr>
              <w:t xml:space="preserve">No kurām saistītas ar finanšu sektoru </w:t>
            </w:r>
          </w:p>
        </w:tc>
        <w:tc>
          <w:tcPr>
            <w:tcW w:w="993" w:type="dxa"/>
          </w:tcPr>
          <w:p w14:paraId="02858A6D" w14:textId="77777777" w:rsidR="00F51615" w:rsidRPr="003028D0" w:rsidRDefault="003666E9" w:rsidP="00232B1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3028D0">
              <w:rPr>
                <w:rFonts w:ascii="Times New Roman" w:hAnsi="Times New Roman" w:cs="Times New Roman"/>
                <w:b/>
                <w:bCs/>
                <w:color w:val="000000"/>
                <w:sz w:val="20"/>
                <w:szCs w:val="20"/>
              </w:rPr>
              <w:t>0,2</w:t>
            </w:r>
          </w:p>
        </w:tc>
      </w:tr>
    </w:tbl>
    <w:p w14:paraId="4B514DB7" w14:textId="77777777" w:rsidR="003D38BE" w:rsidRDefault="003D38BE" w:rsidP="00F51615">
      <w:pPr>
        <w:pStyle w:val="T"/>
        <w:ind w:left="0"/>
        <w:rPr>
          <w:rFonts w:ascii="Times New Roman" w:hAnsi="Times New Roman"/>
          <w:color w:val="000000"/>
          <w:szCs w:val="24"/>
        </w:rPr>
      </w:pPr>
    </w:p>
    <w:p w14:paraId="091F404C" w14:textId="356CADC5" w:rsidR="00F51615" w:rsidRDefault="00C81719" w:rsidP="00F51615">
      <w:pPr>
        <w:pStyle w:val="T"/>
        <w:ind w:left="0"/>
        <w:rPr>
          <w:rFonts w:ascii="Times New Roman" w:hAnsi="Times New Roman"/>
          <w:color w:val="000000"/>
          <w:szCs w:val="24"/>
        </w:rPr>
      </w:pPr>
      <w:r>
        <w:rPr>
          <w:rFonts w:ascii="Times New Roman" w:hAnsi="Times New Roman"/>
          <w:color w:val="000000"/>
          <w:szCs w:val="24"/>
        </w:rPr>
        <w:t>8.</w:t>
      </w:r>
      <w:r w:rsidR="00F51615" w:rsidRPr="00F51615">
        <w:rPr>
          <w:rFonts w:ascii="Times New Roman" w:hAnsi="Times New Roman"/>
          <w:color w:val="000000"/>
          <w:szCs w:val="24"/>
        </w:rPr>
        <w:t>tabula. Ārējās vides pamata pieņēmumi</w:t>
      </w:r>
    </w:p>
    <w:tbl>
      <w:tblPr>
        <w:tblStyle w:val="GridTable6ColorfulAccent1"/>
        <w:tblW w:w="9092" w:type="dxa"/>
        <w:jc w:val="center"/>
        <w:tblLook w:val="04A0" w:firstRow="1" w:lastRow="0" w:firstColumn="1" w:lastColumn="0" w:noHBand="0" w:noVBand="1"/>
      </w:tblPr>
      <w:tblGrid>
        <w:gridCol w:w="4710"/>
        <w:gridCol w:w="980"/>
        <w:gridCol w:w="851"/>
        <w:gridCol w:w="850"/>
        <w:gridCol w:w="851"/>
        <w:gridCol w:w="850"/>
      </w:tblGrid>
      <w:tr w:rsidR="003028D0" w:rsidRPr="003028D0" w14:paraId="17477192" w14:textId="77777777" w:rsidTr="00C817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tcPr>
          <w:p w14:paraId="0EF25CC8" w14:textId="77777777" w:rsidR="0009609E" w:rsidRPr="003028D0" w:rsidRDefault="0009609E" w:rsidP="0009609E">
            <w:pPr>
              <w:rPr>
                <w:rFonts w:ascii="Times New Roman" w:eastAsia="Calibri" w:hAnsi="Times New Roman" w:cs="Times New Roman"/>
                <w:color w:val="auto"/>
                <w:sz w:val="20"/>
                <w:szCs w:val="20"/>
              </w:rPr>
            </w:pPr>
          </w:p>
        </w:tc>
        <w:tc>
          <w:tcPr>
            <w:tcW w:w="980" w:type="dxa"/>
            <w:vAlign w:val="center"/>
            <w:hideMark/>
          </w:tcPr>
          <w:p w14:paraId="02DE2ED7" w14:textId="77777777" w:rsidR="0009609E" w:rsidRPr="003028D0" w:rsidRDefault="0009609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3028D0">
              <w:rPr>
                <w:rFonts w:ascii="Times New Roman" w:eastAsia="Times New Roman" w:hAnsi="Times New Roman" w:cs="Times New Roman"/>
                <w:color w:val="auto"/>
                <w:sz w:val="20"/>
                <w:szCs w:val="20"/>
              </w:rPr>
              <w:t>2014</w:t>
            </w:r>
          </w:p>
        </w:tc>
        <w:tc>
          <w:tcPr>
            <w:tcW w:w="851" w:type="dxa"/>
            <w:vAlign w:val="center"/>
            <w:hideMark/>
          </w:tcPr>
          <w:p w14:paraId="20B79AD7" w14:textId="77777777" w:rsidR="0009609E" w:rsidRPr="003028D0" w:rsidRDefault="0009609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3028D0">
              <w:rPr>
                <w:rFonts w:ascii="Times New Roman" w:eastAsia="Times New Roman" w:hAnsi="Times New Roman" w:cs="Times New Roman"/>
                <w:color w:val="auto"/>
                <w:sz w:val="20"/>
                <w:szCs w:val="20"/>
              </w:rPr>
              <w:t>2015</w:t>
            </w:r>
          </w:p>
        </w:tc>
        <w:tc>
          <w:tcPr>
            <w:tcW w:w="850" w:type="dxa"/>
            <w:vAlign w:val="center"/>
            <w:hideMark/>
          </w:tcPr>
          <w:p w14:paraId="3EBBEE71" w14:textId="77777777" w:rsidR="0009609E" w:rsidRPr="003028D0" w:rsidRDefault="0009609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3028D0">
              <w:rPr>
                <w:rFonts w:ascii="Times New Roman" w:eastAsia="Times New Roman" w:hAnsi="Times New Roman" w:cs="Times New Roman"/>
                <w:color w:val="auto"/>
                <w:sz w:val="20"/>
                <w:szCs w:val="20"/>
              </w:rPr>
              <w:t>2016</w:t>
            </w:r>
          </w:p>
        </w:tc>
        <w:tc>
          <w:tcPr>
            <w:tcW w:w="851" w:type="dxa"/>
            <w:vAlign w:val="center"/>
            <w:hideMark/>
          </w:tcPr>
          <w:p w14:paraId="4AB748B5" w14:textId="77777777" w:rsidR="0009609E" w:rsidRPr="003028D0" w:rsidRDefault="0009609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3028D0">
              <w:rPr>
                <w:rFonts w:ascii="Times New Roman" w:eastAsia="Times New Roman" w:hAnsi="Times New Roman" w:cs="Times New Roman"/>
                <w:color w:val="auto"/>
                <w:sz w:val="20"/>
                <w:szCs w:val="20"/>
              </w:rPr>
              <w:t>2017</w:t>
            </w:r>
          </w:p>
        </w:tc>
        <w:tc>
          <w:tcPr>
            <w:tcW w:w="850" w:type="dxa"/>
            <w:vAlign w:val="center"/>
            <w:hideMark/>
          </w:tcPr>
          <w:p w14:paraId="746D118E" w14:textId="77777777" w:rsidR="0009609E" w:rsidRPr="003028D0" w:rsidRDefault="0009609E" w:rsidP="003028D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3028D0">
              <w:rPr>
                <w:rFonts w:ascii="Times New Roman" w:eastAsia="Times New Roman" w:hAnsi="Times New Roman" w:cs="Times New Roman"/>
                <w:color w:val="auto"/>
                <w:sz w:val="20"/>
                <w:szCs w:val="20"/>
              </w:rPr>
              <w:t>2018</w:t>
            </w:r>
          </w:p>
        </w:tc>
      </w:tr>
      <w:tr w:rsidR="003028D0" w:rsidRPr="003028D0" w14:paraId="76815C7C" w14:textId="77777777" w:rsidTr="00C81719">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4710" w:type="dxa"/>
            <w:hideMark/>
          </w:tcPr>
          <w:p w14:paraId="2ADCA09E" w14:textId="59CC04A9" w:rsidR="0009609E" w:rsidRPr="003028D0" w:rsidRDefault="0009609E" w:rsidP="00527227">
            <w:pPr>
              <w:rPr>
                <w:rFonts w:ascii="Times New Roman" w:eastAsia="Calibri" w:hAnsi="Times New Roman" w:cs="Times New Roman"/>
                <w:b w:val="0"/>
                <w:color w:val="auto"/>
                <w:sz w:val="20"/>
                <w:szCs w:val="20"/>
              </w:rPr>
            </w:pPr>
            <w:r w:rsidRPr="003028D0">
              <w:rPr>
                <w:rFonts w:ascii="Times New Roman" w:eastAsia="Calibri" w:hAnsi="Times New Roman" w:cs="Times New Roman"/>
                <w:b w:val="0"/>
                <w:color w:val="auto"/>
                <w:sz w:val="20"/>
                <w:szCs w:val="20"/>
                <w:lang w:eastAsia="lv-LV"/>
              </w:rPr>
              <w:t xml:space="preserve">Īstermiņa procentu likme </w:t>
            </w:r>
            <w:r w:rsidR="00527227" w:rsidRPr="003028D0">
              <w:rPr>
                <w:rFonts w:ascii="Times New Roman" w:eastAsia="Calibri" w:hAnsi="Times New Roman" w:cs="Times New Roman"/>
                <w:b w:val="0"/>
                <w:i/>
                <w:color w:val="auto"/>
                <w:sz w:val="20"/>
                <w:szCs w:val="20"/>
                <w:lang w:eastAsia="lv-LV"/>
              </w:rPr>
              <w:t>euro</w:t>
            </w:r>
            <w:r w:rsidR="00527227" w:rsidRPr="003028D0">
              <w:rPr>
                <w:rFonts w:ascii="Times New Roman" w:eastAsia="Calibri" w:hAnsi="Times New Roman" w:cs="Times New Roman"/>
                <w:b w:val="0"/>
                <w:color w:val="auto"/>
                <w:sz w:val="20"/>
                <w:szCs w:val="20"/>
                <w:lang w:eastAsia="lv-LV"/>
              </w:rPr>
              <w:t xml:space="preserve"> </w:t>
            </w:r>
            <w:r w:rsidRPr="003028D0">
              <w:rPr>
                <w:rFonts w:ascii="Times New Roman" w:eastAsia="Calibri" w:hAnsi="Times New Roman" w:cs="Times New Roman"/>
                <w:b w:val="0"/>
                <w:color w:val="auto"/>
                <w:sz w:val="20"/>
                <w:szCs w:val="20"/>
                <w:lang w:eastAsia="lv-LV"/>
              </w:rPr>
              <w:t>zonā (gada vidējā)</w:t>
            </w:r>
          </w:p>
        </w:tc>
        <w:tc>
          <w:tcPr>
            <w:tcW w:w="980" w:type="dxa"/>
            <w:vAlign w:val="center"/>
          </w:tcPr>
          <w:p w14:paraId="6D0A982D"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851" w:type="dxa"/>
            <w:vAlign w:val="center"/>
          </w:tcPr>
          <w:p w14:paraId="4A7CDAD4"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0,0</w:t>
            </w:r>
          </w:p>
        </w:tc>
        <w:tc>
          <w:tcPr>
            <w:tcW w:w="850" w:type="dxa"/>
            <w:vAlign w:val="center"/>
          </w:tcPr>
          <w:p w14:paraId="32E3C0D2"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0,1</w:t>
            </w:r>
          </w:p>
        </w:tc>
        <w:tc>
          <w:tcPr>
            <w:tcW w:w="851" w:type="dxa"/>
            <w:vAlign w:val="center"/>
          </w:tcPr>
          <w:p w14:paraId="66690EE7"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0,1</w:t>
            </w:r>
          </w:p>
        </w:tc>
        <w:tc>
          <w:tcPr>
            <w:tcW w:w="850" w:type="dxa"/>
            <w:vAlign w:val="center"/>
          </w:tcPr>
          <w:p w14:paraId="676DB338"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0,1</w:t>
            </w:r>
          </w:p>
        </w:tc>
      </w:tr>
      <w:tr w:rsidR="003028D0" w:rsidRPr="003028D0" w14:paraId="0DD5B155" w14:textId="77777777" w:rsidTr="00C81719">
        <w:trPr>
          <w:jc w:val="center"/>
        </w:trPr>
        <w:tc>
          <w:tcPr>
            <w:cnfStyle w:val="001000000000" w:firstRow="0" w:lastRow="0" w:firstColumn="1" w:lastColumn="0" w:oddVBand="0" w:evenVBand="0" w:oddHBand="0" w:evenHBand="0" w:firstRowFirstColumn="0" w:firstRowLastColumn="0" w:lastRowFirstColumn="0" w:lastRowLastColumn="0"/>
            <w:tcW w:w="4710" w:type="dxa"/>
            <w:hideMark/>
          </w:tcPr>
          <w:p w14:paraId="5BC5E586" w14:textId="408E57E8" w:rsidR="0009609E" w:rsidRPr="003028D0" w:rsidRDefault="0009609E" w:rsidP="00527227">
            <w:pPr>
              <w:rPr>
                <w:rFonts w:ascii="Times New Roman" w:eastAsia="Calibri" w:hAnsi="Times New Roman" w:cs="Times New Roman"/>
                <w:b w:val="0"/>
                <w:color w:val="auto"/>
                <w:sz w:val="20"/>
                <w:szCs w:val="20"/>
              </w:rPr>
            </w:pPr>
            <w:r w:rsidRPr="003028D0">
              <w:rPr>
                <w:rFonts w:ascii="Times New Roman" w:eastAsia="Calibri" w:hAnsi="Times New Roman" w:cs="Times New Roman"/>
                <w:b w:val="0"/>
                <w:color w:val="auto"/>
                <w:sz w:val="20"/>
                <w:szCs w:val="20"/>
                <w:lang w:eastAsia="lv-LV"/>
              </w:rPr>
              <w:t xml:space="preserve">Ilgtermiņa procentu likme </w:t>
            </w:r>
            <w:r w:rsidR="00527227" w:rsidRPr="003028D0">
              <w:rPr>
                <w:rFonts w:ascii="Times New Roman" w:eastAsia="Calibri" w:hAnsi="Times New Roman" w:cs="Times New Roman"/>
                <w:b w:val="0"/>
                <w:i/>
                <w:color w:val="auto"/>
                <w:sz w:val="20"/>
                <w:szCs w:val="20"/>
                <w:lang w:eastAsia="lv-LV"/>
              </w:rPr>
              <w:t>euro</w:t>
            </w:r>
            <w:r w:rsidR="00527227" w:rsidRPr="003028D0">
              <w:rPr>
                <w:rFonts w:ascii="Times New Roman" w:eastAsia="Calibri" w:hAnsi="Times New Roman" w:cs="Times New Roman"/>
                <w:b w:val="0"/>
                <w:color w:val="auto"/>
                <w:sz w:val="20"/>
                <w:szCs w:val="20"/>
                <w:lang w:eastAsia="lv-LV"/>
              </w:rPr>
              <w:t xml:space="preserve"> </w:t>
            </w:r>
            <w:r w:rsidRPr="003028D0">
              <w:rPr>
                <w:rFonts w:ascii="Times New Roman" w:eastAsia="Calibri" w:hAnsi="Times New Roman" w:cs="Times New Roman"/>
                <w:b w:val="0"/>
                <w:color w:val="auto"/>
                <w:sz w:val="20"/>
                <w:szCs w:val="20"/>
                <w:lang w:eastAsia="lv-LV"/>
              </w:rPr>
              <w:t>zonā (gada vidējā)</w:t>
            </w:r>
          </w:p>
        </w:tc>
        <w:tc>
          <w:tcPr>
            <w:tcW w:w="980" w:type="dxa"/>
            <w:vAlign w:val="center"/>
          </w:tcPr>
          <w:p w14:paraId="520335D9"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851" w:type="dxa"/>
            <w:vAlign w:val="center"/>
          </w:tcPr>
          <w:p w14:paraId="60359C73"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0,5</w:t>
            </w:r>
          </w:p>
        </w:tc>
        <w:tc>
          <w:tcPr>
            <w:tcW w:w="850" w:type="dxa"/>
            <w:vAlign w:val="center"/>
          </w:tcPr>
          <w:p w14:paraId="03BFC0B9"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0,7</w:t>
            </w:r>
          </w:p>
        </w:tc>
        <w:tc>
          <w:tcPr>
            <w:tcW w:w="851" w:type="dxa"/>
            <w:vAlign w:val="center"/>
          </w:tcPr>
          <w:p w14:paraId="6E511D9F"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0,7</w:t>
            </w:r>
          </w:p>
        </w:tc>
        <w:tc>
          <w:tcPr>
            <w:tcW w:w="850" w:type="dxa"/>
            <w:vAlign w:val="center"/>
          </w:tcPr>
          <w:p w14:paraId="38EA413E"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0,7</w:t>
            </w:r>
          </w:p>
        </w:tc>
      </w:tr>
      <w:tr w:rsidR="003028D0" w:rsidRPr="003028D0" w14:paraId="478A2F7E" w14:textId="77777777" w:rsidTr="00C817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hideMark/>
          </w:tcPr>
          <w:p w14:paraId="5A00BA22" w14:textId="77777777" w:rsidR="0009609E" w:rsidRPr="003028D0" w:rsidRDefault="0009609E" w:rsidP="0009609E">
            <w:pPr>
              <w:rPr>
                <w:rFonts w:ascii="Times New Roman" w:eastAsia="Calibri" w:hAnsi="Times New Roman" w:cs="Times New Roman"/>
                <w:b w:val="0"/>
                <w:color w:val="auto"/>
                <w:sz w:val="20"/>
                <w:szCs w:val="20"/>
                <w:highlight w:val="yellow"/>
              </w:rPr>
            </w:pPr>
            <w:r w:rsidRPr="003028D0">
              <w:rPr>
                <w:rFonts w:ascii="Times New Roman" w:eastAsia="Calibri" w:hAnsi="Times New Roman" w:cs="Times New Roman"/>
                <w:b w:val="0"/>
                <w:color w:val="auto"/>
                <w:sz w:val="20"/>
                <w:szCs w:val="20"/>
                <w:lang w:eastAsia="lv-LV"/>
              </w:rPr>
              <w:t>EUR/USD kurss (gada vidējais)</w:t>
            </w:r>
          </w:p>
        </w:tc>
        <w:tc>
          <w:tcPr>
            <w:tcW w:w="980" w:type="dxa"/>
            <w:vAlign w:val="center"/>
          </w:tcPr>
          <w:p w14:paraId="68F1834A"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1,33</w:t>
            </w:r>
          </w:p>
        </w:tc>
        <w:tc>
          <w:tcPr>
            <w:tcW w:w="851" w:type="dxa"/>
            <w:vAlign w:val="center"/>
          </w:tcPr>
          <w:p w14:paraId="14469F07"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1,17</w:t>
            </w:r>
          </w:p>
        </w:tc>
        <w:tc>
          <w:tcPr>
            <w:tcW w:w="850" w:type="dxa"/>
            <w:vAlign w:val="center"/>
          </w:tcPr>
          <w:p w14:paraId="744F8DA8"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1,17</w:t>
            </w:r>
          </w:p>
        </w:tc>
        <w:tc>
          <w:tcPr>
            <w:tcW w:w="851" w:type="dxa"/>
            <w:vAlign w:val="center"/>
          </w:tcPr>
          <w:p w14:paraId="2AFA5620"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1,17</w:t>
            </w:r>
          </w:p>
        </w:tc>
        <w:tc>
          <w:tcPr>
            <w:tcW w:w="850" w:type="dxa"/>
            <w:vAlign w:val="center"/>
          </w:tcPr>
          <w:p w14:paraId="60C6D946"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1,17</w:t>
            </w:r>
          </w:p>
        </w:tc>
      </w:tr>
      <w:tr w:rsidR="003028D0" w:rsidRPr="003028D0" w14:paraId="039DF98B" w14:textId="77777777" w:rsidTr="00C81719">
        <w:trPr>
          <w:jc w:val="center"/>
        </w:trPr>
        <w:tc>
          <w:tcPr>
            <w:cnfStyle w:val="001000000000" w:firstRow="0" w:lastRow="0" w:firstColumn="1" w:lastColumn="0" w:oddVBand="0" w:evenVBand="0" w:oddHBand="0" w:evenHBand="0" w:firstRowFirstColumn="0" w:firstRowLastColumn="0" w:lastRowFirstColumn="0" w:lastRowLastColumn="0"/>
            <w:tcW w:w="4710" w:type="dxa"/>
            <w:hideMark/>
          </w:tcPr>
          <w:p w14:paraId="1B4CBF2E" w14:textId="77777777" w:rsidR="0009609E" w:rsidRPr="003028D0" w:rsidRDefault="0009609E" w:rsidP="0009609E">
            <w:pPr>
              <w:rPr>
                <w:rFonts w:ascii="Times New Roman" w:eastAsia="Calibri" w:hAnsi="Times New Roman" w:cs="Times New Roman"/>
                <w:b w:val="0"/>
                <w:color w:val="auto"/>
                <w:sz w:val="20"/>
                <w:szCs w:val="20"/>
              </w:rPr>
            </w:pPr>
            <w:r w:rsidRPr="003028D0">
              <w:rPr>
                <w:rFonts w:ascii="Times New Roman" w:eastAsia="Calibri" w:hAnsi="Times New Roman" w:cs="Times New Roman"/>
                <w:b w:val="0"/>
                <w:color w:val="auto"/>
                <w:sz w:val="20"/>
                <w:szCs w:val="20"/>
                <w:lang w:eastAsia="lv-LV"/>
              </w:rPr>
              <w:t>Nominālais efektīvais maiņas kurss ES</w:t>
            </w:r>
          </w:p>
        </w:tc>
        <w:tc>
          <w:tcPr>
            <w:tcW w:w="980" w:type="dxa"/>
            <w:vAlign w:val="center"/>
          </w:tcPr>
          <w:p w14:paraId="6A4F0959"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4,6</w:t>
            </w:r>
          </w:p>
        </w:tc>
        <w:tc>
          <w:tcPr>
            <w:tcW w:w="851" w:type="dxa"/>
            <w:vAlign w:val="center"/>
          </w:tcPr>
          <w:p w14:paraId="752679AA"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-7,0</w:t>
            </w:r>
          </w:p>
        </w:tc>
        <w:tc>
          <w:tcPr>
            <w:tcW w:w="850" w:type="dxa"/>
            <w:vAlign w:val="center"/>
          </w:tcPr>
          <w:p w14:paraId="601662E5"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-0,1</w:t>
            </w:r>
          </w:p>
        </w:tc>
        <w:tc>
          <w:tcPr>
            <w:tcW w:w="851" w:type="dxa"/>
            <w:vAlign w:val="center"/>
          </w:tcPr>
          <w:p w14:paraId="55DCDA02"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0</w:t>
            </w:r>
          </w:p>
        </w:tc>
        <w:tc>
          <w:tcPr>
            <w:tcW w:w="850" w:type="dxa"/>
            <w:vAlign w:val="center"/>
          </w:tcPr>
          <w:p w14:paraId="14A4715F"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0</w:t>
            </w:r>
          </w:p>
        </w:tc>
      </w:tr>
      <w:tr w:rsidR="003028D0" w:rsidRPr="003028D0" w14:paraId="6DA6EEC5" w14:textId="77777777" w:rsidTr="00C817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hideMark/>
          </w:tcPr>
          <w:p w14:paraId="5E7B0D88" w14:textId="77777777" w:rsidR="0009609E" w:rsidRPr="003028D0" w:rsidRDefault="0009609E" w:rsidP="0009609E">
            <w:pPr>
              <w:rPr>
                <w:rFonts w:ascii="Times New Roman" w:eastAsia="Calibri" w:hAnsi="Times New Roman" w:cs="Times New Roman"/>
                <w:b w:val="0"/>
                <w:color w:val="auto"/>
                <w:sz w:val="20"/>
                <w:szCs w:val="20"/>
              </w:rPr>
            </w:pPr>
            <w:r w:rsidRPr="003028D0">
              <w:rPr>
                <w:rFonts w:ascii="Times New Roman" w:eastAsia="Calibri" w:hAnsi="Times New Roman" w:cs="Times New Roman"/>
                <w:b w:val="0"/>
                <w:color w:val="auto"/>
                <w:sz w:val="20"/>
                <w:szCs w:val="20"/>
                <w:lang w:eastAsia="lv-LV"/>
              </w:rPr>
              <w:t>Pasaules IKP, izņemot ES, pieaugums salīdzināmās cenās, %</w:t>
            </w:r>
          </w:p>
        </w:tc>
        <w:tc>
          <w:tcPr>
            <w:tcW w:w="980" w:type="dxa"/>
            <w:vAlign w:val="center"/>
          </w:tcPr>
          <w:p w14:paraId="31C2F18D"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3,7</w:t>
            </w:r>
          </w:p>
        </w:tc>
        <w:tc>
          <w:tcPr>
            <w:tcW w:w="851" w:type="dxa"/>
            <w:vAlign w:val="center"/>
          </w:tcPr>
          <w:p w14:paraId="1EB96B37"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4,0</w:t>
            </w:r>
          </w:p>
        </w:tc>
        <w:tc>
          <w:tcPr>
            <w:tcW w:w="850" w:type="dxa"/>
            <w:vAlign w:val="center"/>
          </w:tcPr>
          <w:p w14:paraId="4A52F146"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4,4</w:t>
            </w:r>
          </w:p>
        </w:tc>
        <w:tc>
          <w:tcPr>
            <w:tcW w:w="851" w:type="dxa"/>
            <w:vAlign w:val="center"/>
          </w:tcPr>
          <w:p w14:paraId="6AFEF187"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4,4</w:t>
            </w:r>
          </w:p>
        </w:tc>
        <w:tc>
          <w:tcPr>
            <w:tcW w:w="850" w:type="dxa"/>
            <w:vAlign w:val="center"/>
          </w:tcPr>
          <w:p w14:paraId="5184C5D9"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4,4</w:t>
            </w:r>
          </w:p>
        </w:tc>
      </w:tr>
      <w:tr w:rsidR="003028D0" w:rsidRPr="003028D0" w14:paraId="4AA85540" w14:textId="77777777" w:rsidTr="00C81719">
        <w:trPr>
          <w:trHeight w:val="189"/>
          <w:jc w:val="center"/>
        </w:trPr>
        <w:tc>
          <w:tcPr>
            <w:cnfStyle w:val="001000000000" w:firstRow="0" w:lastRow="0" w:firstColumn="1" w:lastColumn="0" w:oddVBand="0" w:evenVBand="0" w:oddHBand="0" w:evenHBand="0" w:firstRowFirstColumn="0" w:firstRowLastColumn="0" w:lastRowFirstColumn="0" w:lastRowLastColumn="0"/>
            <w:tcW w:w="4710" w:type="dxa"/>
            <w:hideMark/>
          </w:tcPr>
          <w:p w14:paraId="3822ECB5" w14:textId="77777777" w:rsidR="0009609E" w:rsidRPr="003028D0" w:rsidRDefault="0009609E" w:rsidP="0009609E">
            <w:pPr>
              <w:rPr>
                <w:rFonts w:ascii="Times New Roman" w:eastAsia="Calibri" w:hAnsi="Times New Roman" w:cs="Times New Roman"/>
                <w:b w:val="0"/>
                <w:color w:val="auto"/>
                <w:sz w:val="20"/>
                <w:szCs w:val="20"/>
              </w:rPr>
            </w:pPr>
            <w:r w:rsidRPr="003028D0">
              <w:rPr>
                <w:rFonts w:ascii="Times New Roman" w:eastAsia="Calibri" w:hAnsi="Times New Roman" w:cs="Times New Roman"/>
                <w:b w:val="0"/>
                <w:color w:val="auto"/>
                <w:sz w:val="20"/>
                <w:szCs w:val="20"/>
                <w:lang w:eastAsia="lv-LV"/>
              </w:rPr>
              <w:t>ES IKP pieaugums salīdzināmās cenās, %</w:t>
            </w:r>
          </w:p>
        </w:tc>
        <w:tc>
          <w:tcPr>
            <w:tcW w:w="980" w:type="dxa"/>
            <w:vAlign w:val="center"/>
          </w:tcPr>
          <w:p w14:paraId="2EDFC062"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1,3</w:t>
            </w:r>
          </w:p>
        </w:tc>
        <w:tc>
          <w:tcPr>
            <w:tcW w:w="851" w:type="dxa"/>
            <w:vAlign w:val="center"/>
          </w:tcPr>
          <w:p w14:paraId="58E44744"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1,7</w:t>
            </w:r>
          </w:p>
        </w:tc>
        <w:tc>
          <w:tcPr>
            <w:tcW w:w="850" w:type="dxa"/>
            <w:vAlign w:val="center"/>
          </w:tcPr>
          <w:p w14:paraId="488EE979"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2,1</w:t>
            </w:r>
          </w:p>
        </w:tc>
        <w:tc>
          <w:tcPr>
            <w:tcW w:w="851" w:type="dxa"/>
            <w:vAlign w:val="center"/>
          </w:tcPr>
          <w:p w14:paraId="2D9FA4C5"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2,1</w:t>
            </w:r>
          </w:p>
        </w:tc>
        <w:tc>
          <w:tcPr>
            <w:tcW w:w="850" w:type="dxa"/>
            <w:vAlign w:val="center"/>
          </w:tcPr>
          <w:p w14:paraId="6080DCED"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2,1</w:t>
            </w:r>
          </w:p>
        </w:tc>
      </w:tr>
      <w:tr w:rsidR="003028D0" w:rsidRPr="003028D0" w14:paraId="16CE4D7C" w14:textId="77777777" w:rsidTr="00C817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hideMark/>
          </w:tcPr>
          <w:p w14:paraId="36DB5A55" w14:textId="77777777" w:rsidR="0009609E" w:rsidRPr="003028D0" w:rsidRDefault="0009609E" w:rsidP="0009609E">
            <w:pPr>
              <w:rPr>
                <w:rFonts w:ascii="Times New Roman" w:eastAsia="Calibri" w:hAnsi="Times New Roman" w:cs="Times New Roman"/>
                <w:b w:val="0"/>
                <w:color w:val="auto"/>
                <w:sz w:val="20"/>
                <w:szCs w:val="20"/>
                <w:lang w:eastAsia="lv-LV"/>
              </w:rPr>
            </w:pPr>
            <w:r w:rsidRPr="003028D0">
              <w:rPr>
                <w:rFonts w:ascii="Times New Roman" w:eastAsia="Calibri" w:hAnsi="Times New Roman" w:cs="Times New Roman"/>
                <w:b w:val="0"/>
                <w:color w:val="auto"/>
                <w:sz w:val="20"/>
                <w:szCs w:val="20"/>
                <w:lang w:eastAsia="lv-LV"/>
              </w:rPr>
              <w:t>Pasaules preču un pakalpojumu tirdzniecības apjomu izmaiņas ES eksporta tirgos, izslēdzot ES, %</w:t>
            </w:r>
          </w:p>
        </w:tc>
        <w:tc>
          <w:tcPr>
            <w:tcW w:w="980" w:type="dxa"/>
            <w:vAlign w:val="center"/>
          </w:tcPr>
          <w:p w14:paraId="18253FCE"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3,2</w:t>
            </w:r>
          </w:p>
        </w:tc>
        <w:tc>
          <w:tcPr>
            <w:tcW w:w="851" w:type="dxa"/>
            <w:vAlign w:val="center"/>
          </w:tcPr>
          <w:p w14:paraId="680D7BE7"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4,5</w:t>
            </w:r>
          </w:p>
        </w:tc>
        <w:tc>
          <w:tcPr>
            <w:tcW w:w="850" w:type="dxa"/>
            <w:vAlign w:val="center"/>
          </w:tcPr>
          <w:p w14:paraId="6857445A"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5,2</w:t>
            </w:r>
          </w:p>
        </w:tc>
        <w:tc>
          <w:tcPr>
            <w:tcW w:w="851" w:type="dxa"/>
            <w:vAlign w:val="center"/>
          </w:tcPr>
          <w:p w14:paraId="76E61F10"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5,2</w:t>
            </w:r>
          </w:p>
        </w:tc>
        <w:tc>
          <w:tcPr>
            <w:tcW w:w="850" w:type="dxa"/>
            <w:vAlign w:val="center"/>
          </w:tcPr>
          <w:p w14:paraId="75429801"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5,2</w:t>
            </w:r>
          </w:p>
        </w:tc>
      </w:tr>
      <w:tr w:rsidR="003028D0" w:rsidRPr="003028D0" w14:paraId="0AAB6BFE" w14:textId="77777777" w:rsidTr="00C81719">
        <w:trPr>
          <w:jc w:val="center"/>
        </w:trPr>
        <w:tc>
          <w:tcPr>
            <w:cnfStyle w:val="001000000000" w:firstRow="0" w:lastRow="0" w:firstColumn="1" w:lastColumn="0" w:oddVBand="0" w:evenVBand="0" w:oddHBand="0" w:evenHBand="0" w:firstRowFirstColumn="0" w:firstRowLastColumn="0" w:lastRowFirstColumn="0" w:lastRowLastColumn="0"/>
            <w:tcW w:w="4710" w:type="dxa"/>
            <w:hideMark/>
          </w:tcPr>
          <w:p w14:paraId="037F4FEA" w14:textId="77777777" w:rsidR="0009609E" w:rsidRPr="003028D0" w:rsidRDefault="0009609E" w:rsidP="0009609E">
            <w:pPr>
              <w:rPr>
                <w:rFonts w:ascii="Times New Roman" w:eastAsia="Calibri" w:hAnsi="Times New Roman" w:cs="Times New Roman"/>
                <w:b w:val="0"/>
                <w:color w:val="auto"/>
                <w:sz w:val="20"/>
                <w:szCs w:val="20"/>
              </w:rPr>
            </w:pPr>
            <w:r w:rsidRPr="003028D0">
              <w:rPr>
                <w:rFonts w:ascii="Times New Roman" w:eastAsia="Calibri" w:hAnsi="Times New Roman" w:cs="Times New Roman"/>
                <w:b w:val="0"/>
                <w:color w:val="auto"/>
                <w:sz w:val="20"/>
                <w:szCs w:val="20"/>
                <w:lang w:eastAsia="lv-LV"/>
              </w:rPr>
              <w:t>Pasaules preču un pakalpojumu importa apjomu izmaiņas, izslēdzot ES, %</w:t>
            </w:r>
          </w:p>
        </w:tc>
        <w:tc>
          <w:tcPr>
            <w:tcW w:w="980" w:type="dxa"/>
            <w:vAlign w:val="center"/>
          </w:tcPr>
          <w:p w14:paraId="46296A85"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2,3</w:t>
            </w:r>
          </w:p>
        </w:tc>
        <w:tc>
          <w:tcPr>
            <w:tcW w:w="851" w:type="dxa"/>
            <w:vAlign w:val="center"/>
          </w:tcPr>
          <w:p w14:paraId="3DE85818"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4,2</w:t>
            </w:r>
          </w:p>
        </w:tc>
        <w:tc>
          <w:tcPr>
            <w:tcW w:w="850" w:type="dxa"/>
            <w:vAlign w:val="center"/>
          </w:tcPr>
          <w:p w14:paraId="15885A27"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5,2</w:t>
            </w:r>
          </w:p>
        </w:tc>
        <w:tc>
          <w:tcPr>
            <w:tcW w:w="851" w:type="dxa"/>
            <w:vAlign w:val="center"/>
          </w:tcPr>
          <w:p w14:paraId="2AF73DF2"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5,2</w:t>
            </w:r>
          </w:p>
        </w:tc>
        <w:tc>
          <w:tcPr>
            <w:tcW w:w="850" w:type="dxa"/>
            <w:vAlign w:val="center"/>
          </w:tcPr>
          <w:p w14:paraId="6A103418" w14:textId="77777777" w:rsidR="0009609E" w:rsidRPr="003028D0" w:rsidRDefault="0009609E" w:rsidP="003028D0">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5,2</w:t>
            </w:r>
          </w:p>
        </w:tc>
      </w:tr>
      <w:tr w:rsidR="003028D0" w:rsidRPr="003028D0" w14:paraId="2A586F84" w14:textId="77777777" w:rsidTr="00C817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hideMark/>
          </w:tcPr>
          <w:p w14:paraId="6D5A98A2" w14:textId="77777777" w:rsidR="0009609E" w:rsidRPr="003028D0" w:rsidRDefault="0009609E" w:rsidP="0009609E">
            <w:pPr>
              <w:rPr>
                <w:rFonts w:ascii="Times New Roman" w:eastAsia="Calibri" w:hAnsi="Times New Roman" w:cs="Times New Roman"/>
                <w:b w:val="0"/>
                <w:color w:val="auto"/>
                <w:sz w:val="20"/>
                <w:szCs w:val="20"/>
              </w:rPr>
            </w:pPr>
            <w:r w:rsidRPr="003028D0">
              <w:rPr>
                <w:rFonts w:ascii="Times New Roman" w:eastAsia="Calibri" w:hAnsi="Times New Roman" w:cs="Times New Roman"/>
                <w:b w:val="0"/>
                <w:color w:val="auto"/>
                <w:sz w:val="20"/>
                <w:szCs w:val="20"/>
                <w:lang w:eastAsia="lv-LV"/>
              </w:rPr>
              <w:t>Naftas cena (Brent, USD par barelu)</w:t>
            </w:r>
          </w:p>
        </w:tc>
        <w:tc>
          <w:tcPr>
            <w:tcW w:w="980" w:type="dxa"/>
            <w:vAlign w:val="center"/>
          </w:tcPr>
          <w:p w14:paraId="479E62E1"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99,7</w:t>
            </w:r>
          </w:p>
        </w:tc>
        <w:tc>
          <w:tcPr>
            <w:tcW w:w="851" w:type="dxa"/>
            <w:vAlign w:val="center"/>
          </w:tcPr>
          <w:p w14:paraId="22443E76"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53,0</w:t>
            </w:r>
          </w:p>
        </w:tc>
        <w:tc>
          <w:tcPr>
            <w:tcW w:w="850" w:type="dxa"/>
            <w:vAlign w:val="center"/>
          </w:tcPr>
          <w:p w14:paraId="2F1CFDD9"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61,5</w:t>
            </w:r>
          </w:p>
        </w:tc>
        <w:tc>
          <w:tcPr>
            <w:tcW w:w="851" w:type="dxa"/>
            <w:vAlign w:val="center"/>
          </w:tcPr>
          <w:p w14:paraId="06434487"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61,5</w:t>
            </w:r>
          </w:p>
        </w:tc>
        <w:tc>
          <w:tcPr>
            <w:tcW w:w="850" w:type="dxa"/>
            <w:vAlign w:val="center"/>
          </w:tcPr>
          <w:p w14:paraId="5DA8A896" w14:textId="77777777" w:rsidR="0009609E" w:rsidRPr="003028D0" w:rsidRDefault="0009609E" w:rsidP="003028D0">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028D0">
              <w:rPr>
                <w:rFonts w:ascii="Times New Roman" w:eastAsia="Calibri" w:hAnsi="Times New Roman" w:cs="Times New Roman"/>
                <w:color w:val="auto"/>
                <w:sz w:val="20"/>
                <w:szCs w:val="20"/>
              </w:rPr>
              <w:t>61,5</w:t>
            </w:r>
          </w:p>
        </w:tc>
      </w:tr>
    </w:tbl>
    <w:p w14:paraId="1DBAD972" w14:textId="77777777" w:rsidR="00F51615" w:rsidRPr="00F51615" w:rsidRDefault="00F51615" w:rsidP="0009609E">
      <w:pPr>
        <w:pStyle w:val="T"/>
        <w:ind w:left="0"/>
        <w:rPr>
          <w:rFonts w:ascii="Times New Roman" w:hAnsi="Times New Roman"/>
          <w:b w:val="0"/>
          <w:color w:val="000000"/>
        </w:rPr>
      </w:pPr>
    </w:p>
    <w:p w14:paraId="2434B0A0" w14:textId="77777777" w:rsidR="00F51615" w:rsidRPr="00F51615" w:rsidRDefault="00F51615" w:rsidP="00F51615">
      <w:pPr>
        <w:rPr>
          <w:rFonts w:ascii="Times New Roman" w:hAnsi="Times New Roman" w:cs="Times New Roman"/>
        </w:rPr>
      </w:pPr>
    </w:p>
    <w:p w14:paraId="65BF3417" w14:textId="77777777" w:rsidR="00FD01EA" w:rsidRPr="00F51615" w:rsidRDefault="00FD01EA" w:rsidP="00F51615">
      <w:pPr>
        <w:rPr>
          <w:rFonts w:ascii="Times New Roman" w:hAnsi="Times New Roman" w:cs="Times New Roman"/>
        </w:rPr>
      </w:pPr>
    </w:p>
    <w:sectPr w:rsidR="00FD01EA" w:rsidRPr="00F51615" w:rsidSect="00A118B2">
      <w:footerReference w:type="default" r:id="rId28"/>
      <w:footerReference w:type="first" r:id="rId29"/>
      <w:pgSz w:w="11906" w:h="16838"/>
      <w:pgMar w:top="1418" w:right="1134" w:bottom="709" w:left="1701" w:header="79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93F55" w14:textId="77777777" w:rsidR="000039CF" w:rsidRDefault="000039CF" w:rsidP="00623757">
      <w:pPr>
        <w:spacing w:after="0" w:line="240" w:lineRule="auto"/>
      </w:pPr>
      <w:r>
        <w:separator/>
      </w:r>
    </w:p>
  </w:endnote>
  <w:endnote w:type="continuationSeparator" w:id="0">
    <w:p w14:paraId="3E4FD1D0" w14:textId="77777777" w:rsidR="000039CF" w:rsidRDefault="000039CF" w:rsidP="0062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10022FF" w:usb1="C000E47F" w:usb2="00000029" w:usb3="00000000" w:csb0="000001DF" w:csb1="00000000"/>
  </w:font>
  <w:font w:name="TTA20401A8t00">
    <w:altName w:val="MS Mincho"/>
    <w:panose1 w:val="00000000000000000000"/>
    <w:charset w:val="80"/>
    <w:family w:val="auto"/>
    <w:notTrueType/>
    <w:pitch w:val="default"/>
    <w:sig w:usb0="00000001" w:usb1="08070000" w:usb2="00000010" w:usb3="00000000" w:csb0="00020000"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59265387"/>
      <w:docPartObj>
        <w:docPartGallery w:val="Page Numbers (Bottom of Page)"/>
        <w:docPartUnique/>
      </w:docPartObj>
    </w:sdtPr>
    <w:sdtEndPr>
      <w:rPr>
        <w:noProof/>
      </w:rPr>
    </w:sdtEndPr>
    <w:sdtContent>
      <w:p w14:paraId="09966E21" w14:textId="37C13E7D" w:rsidR="000039CF" w:rsidRPr="00623757" w:rsidRDefault="000039CF" w:rsidP="004E0D45">
        <w:pPr>
          <w:pStyle w:val="Footer"/>
          <w:spacing w:before="120"/>
          <w:rPr>
            <w:rFonts w:ascii="Times New Roman" w:hAnsi="Times New Roman" w:cs="Times New Roman"/>
            <w:sz w:val="20"/>
            <w:szCs w:val="20"/>
          </w:rPr>
        </w:pPr>
        <w:r w:rsidRPr="00623757">
          <w:rPr>
            <w:rFonts w:ascii="Times New Roman" w:hAnsi="Times New Roman" w:cs="Times New Roman"/>
            <w:sz w:val="20"/>
            <w:szCs w:val="20"/>
          </w:rPr>
          <w:t>FM</w:t>
        </w:r>
        <w:r>
          <w:rPr>
            <w:rFonts w:ascii="Times New Roman" w:hAnsi="Times New Roman" w:cs="Times New Roman"/>
            <w:sz w:val="20"/>
            <w:szCs w:val="20"/>
          </w:rPr>
          <w:t>Info</w:t>
        </w:r>
        <w:r w:rsidRPr="00623757">
          <w:rPr>
            <w:rFonts w:ascii="Times New Roman" w:hAnsi="Times New Roman" w:cs="Times New Roman"/>
            <w:sz w:val="20"/>
            <w:szCs w:val="20"/>
          </w:rPr>
          <w:t>_</w:t>
        </w:r>
        <w:r>
          <w:rPr>
            <w:rFonts w:ascii="Times New Roman" w:hAnsi="Times New Roman" w:cs="Times New Roman"/>
            <w:sz w:val="20"/>
            <w:szCs w:val="20"/>
          </w:rPr>
          <w:t>10042015</w:t>
        </w:r>
        <w:r w:rsidRPr="00623757">
          <w:rPr>
            <w:rFonts w:ascii="Times New Roman" w:hAnsi="Times New Roman" w:cs="Times New Roman"/>
            <w:sz w:val="20"/>
            <w:szCs w:val="20"/>
          </w:rPr>
          <w:t>_SP; Latvijas Stabilitātes programma 2015.-2018.gadam</w:t>
        </w:r>
      </w:p>
      <w:p w14:paraId="4BDE8A71" w14:textId="1330C08A" w:rsidR="000039CF" w:rsidRPr="002D4AED" w:rsidRDefault="000039CF" w:rsidP="004C6CC5">
        <w:pPr>
          <w:pStyle w:val="Footer"/>
          <w:jc w:val="right"/>
          <w:rPr>
            <w:rFonts w:ascii="Times New Roman" w:hAnsi="Times New Roman" w:cs="Times New Roman"/>
            <w:sz w:val="24"/>
          </w:rPr>
        </w:pPr>
        <w:r w:rsidRPr="002D4AED">
          <w:rPr>
            <w:rFonts w:ascii="Times New Roman" w:hAnsi="Times New Roman" w:cs="Times New Roman"/>
            <w:sz w:val="24"/>
          </w:rPr>
          <w:fldChar w:fldCharType="begin"/>
        </w:r>
        <w:r w:rsidRPr="002D4AED">
          <w:rPr>
            <w:rFonts w:ascii="Times New Roman" w:hAnsi="Times New Roman" w:cs="Times New Roman"/>
            <w:sz w:val="24"/>
          </w:rPr>
          <w:instrText xml:space="preserve"> PAGE   \* MERGEFORMAT </w:instrText>
        </w:r>
        <w:r w:rsidRPr="002D4AED">
          <w:rPr>
            <w:rFonts w:ascii="Times New Roman" w:hAnsi="Times New Roman" w:cs="Times New Roman"/>
            <w:sz w:val="24"/>
          </w:rPr>
          <w:fldChar w:fldCharType="separate"/>
        </w:r>
        <w:r w:rsidR="00FE657D">
          <w:rPr>
            <w:rFonts w:ascii="Times New Roman" w:hAnsi="Times New Roman" w:cs="Times New Roman"/>
            <w:noProof/>
            <w:sz w:val="24"/>
          </w:rPr>
          <w:t>2</w:t>
        </w:r>
        <w:r w:rsidRPr="002D4AED">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00A0" w14:textId="5A45780A" w:rsidR="000039CF" w:rsidRPr="00623757" w:rsidRDefault="000039CF">
    <w:pPr>
      <w:pStyle w:val="Footer"/>
      <w:rPr>
        <w:rFonts w:ascii="Times New Roman" w:hAnsi="Times New Roman" w:cs="Times New Roman"/>
        <w:sz w:val="20"/>
        <w:szCs w:val="20"/>
      </w:rPr>
    </w:pPr>
    <w:r w:rsidRPr="00623757">
      <w:rPr>
        <w:rFonts w:ascii="Times New Roman" w:hAnsi="Times New Roman" w:cs="Times New Roman"/>
        <w:sz w:val="20"/>
        <w:szCs w:val="20"/>
      </w:rPr>
      <w:t>FM</w:t>
    </w:r>
    <w:r>
      <w:rPr>
        <w:rFonts w:ascii="Times New Roman" w:hAnsi="Times New Roman" w:cs="Times New Roman"/>
        <w:sz w:val="20"/>
        <w:szCs w:val="20"/>
      </w:rPr>
      <w:t>Info</w:t>
    </w:r>
    <w:r w:rsidRPr="00623757">
      <w:rPr>
        <w:rFonts w:ascii="Times New Roman" w:hAnsi="Times New Roman" w:cs="Times New Roman"/>
        <w:sz w:val="20"/>
        <w:szCs w:val="20"/>
      </w:rPr>
      <w:t>_</w:t>
    </w:r>
    <w:r>
      <w:rPr>
        <w:rFonts w:ascii="Times New Roman" w:hAnsi="Times New Roman" w:cs="Times New Roman"/>
        <w:sz w:val="20"/>
        <w:szCs w:val="20"/>
      </w:rPr>
      <w:t>10042015</w:t>
    </w:r>
    <w:r w:rsidRPr="00623757">
      <w:rPr>
        <w:rFonts w:ascii="Times New Roman" w:hAnsi="Times New Roman" w:cs="Times New Roman"/>
        <w:sz w:val="20"/>
        <w:szCs w:val="20"/>
      </w:rPr>
      <w:t>_SP; Latvijas Stabilitātes programma 2015.-2018.gadam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A9017" w14:textId="77777777" w:rsidR="000039CF" w:rsidRDefault="000039CF" w:rsidP="00623757">
      <w:pPr>
        <w:spacing w:after="0" w:line="240" w:lineRule="auto"/>
      </w:pPr>
      <w:r>
        <w:separator/>
      </w:r>
    </w:p>
  </w:footnote>
  <w:footnote w:type="continuationSeparator" w:id="0">
    <w:p w14:paraId="7F5780AD" w14:textId="77777777" w:rsidR="000039CF" w:rsidRDefault="000039CF" w:rsidP="00623757">
      <w:pPr>
        <w:spacing w:after="0" w:line="240" w:lineRule="auto"/>
      </w:pPr>
      <w:r>
        <w:continuationSeparator/>
      </w:r>
    </w:p>
  </w:footnote>
  <w:footnote w:id="1">
    <w:p w14:paraId="1F792514" w14:textId="77777777" w:rsidR="000039CF" w:rsidRPr="00FF4987" w:rsidRDefault="000039CF" w:rsidP="008B7372">
      <w:pPr>
        <w:pStyle w:val="FootnoteText"/>
        <w:jc w:val="both"/>
      </w:pPr>
      <w:r w:rsidRPr="00FF4987">
        <w:rPr>
          <w:rStyle w:val="FootnoteReference"/>
          <w:rFonts w:ascii="Times New Roman" w:hAnsi="Times New Roman"/>
        </w:rPr>
        <w:footnoteRef/>
      </w:r>
      <w:r w:rsidRPr="00FF4987">
        <w:t xml:space="preserve"> </w:t>
      </w:r>
      <w:r w:rsidRPr="00FF4987">
        <w:rPr>
          <w:i/>
        </w:rPr>
        <w:t>European Economic Forecast - Winter 2015, European Commission</w:t>
      </w:r>
    </w:p>
  </w:footnote>
  <w:footnote w:id="2">
    <w:p w14:paraId="05903979" w14:textId="77777777" w:rsidR="000039CF" w:rsidRPr="00FF4987" w:rsidRDefault="000039CF" w:rsidP="008B7372">
      <w:pPr>
        <w:pStyle w:val="FootnoteText"/>
        <w:jc w:val="both"/>
      </w:pPr>
      <w:r w:rsidRPr="00FF4987">
        <w:rPr>
          <w:rStyle w:val="FootnoteReference"/>
          <w:rFonts w:ascii="Times New Roman" w:hAnsi="Times New Roman"/>
        </w:rPr>
        <w:footnoteRef/>
      </w:r>
      <w:r w:rsidRPr="00FF4987">
        <w:t xml:space="preserve"> Datu avots: </w:t>
      </w:r>
      <w:r w:rsidRPr="00FF4987">
        <w:rPr>
          <w:i/>
        </w:rPr>
        <w:t>World Economic Outlook Update, January 20, 2015, International Monetary Fund</w:t>
      </w:r>
    </w:p>
  </w:footnote>
  <w:footnote w:id="3">
    <w:p w14:paraId="08F99C32" w14:textId="77777777" w:rsidR="000039CF" w:rsidRPr="00FF4987" w:rsidRDefault="000039CF" w:rsidP="008B7372">
      <w:pPr>
        <w:pStyle w:val="FootnoteText"/>
        <w:ind w:left="142" w:hanging="142"/>
        <w:jc w:val="both"/>
      </w:pPr>
      <w:r w:rsidRPr="00FF4987">
        <w:rPr>
          <w:rStyle w:val="FootnoteReference"/>
          <w:rFonts w:ascii="Times New Roman" w:hAnsi="Times New Roman"/>
        </w:rPr>
        <w:footnoteRef/>
      </w:r>
      <w:r w:rsidRPr="00FF4987">
        <w:t xml:space="preserve"> </w:t>
      </w:r>
      <w:r w:rsidRPr="00FF4987">
        <w:rPr>
          <w:lang w:val="lv-LV"/>
        </w:rPr>
        <w:t xml:space="preserve">Latvijas ārējās tirdzniecības galveno partnervalstu (Igaunija, Lietuva, Krievija, Vācija, Polija, Zviedrija) vidējā izaugsme, svērta ar  vidējo eksporta īpatsvaru uz konkrēto valsti 2014. gadā. Datu avots: </w:t>
      </w:r>
      <w:r w:rsidRPr="00FF4987">
        <w:rPr>
          <w:i/>
          <w:lang w:val="lv-LV"/>
        </w:rPr>
        <w:t>Eurostat; European Economic Forecast - Winter 2015, European Commission</w:t>
      </w:r>
      <w:r w:rsidRPr="00FF4987">
        <w:rPr>
          <w:lang w:val="lv-LV"/>
        </w:rPr>
        <w:t>; FM aprēķini.</w:t>
      </w:r>
    </w:p>
  </w:footnote>
  <w:footnote w:id="4">
    <w:p w14:paraId="6AE9D758" w14:textId="62D4B89E" w:rsidR="000039CF" w:rsidRPr="00FF4987" w:rsidRDefault="000039CF" w:rsidP="008B7372">
      <w:pPr>
        <w:pStyle w:val="FootnoteText"/>
        <w:jc w:val="both"/>
        <w:rPr>
          <w:lang w:val="lv-LV"/>
        </w:rPr>
      </w:pPr>
      <w:r w:rsidRPr="00FF4987">
        <w:rPr>
          <w:rStyle w:val="FootnoteReference"/>
          <w:rFonts w:ascii="Times New Roman" w:eastAsiaTheme="majorEastAsia" w:hAnsi="Times New Roman"/>
        </w:rPr>
        <w:footnoteRef/>
      </w:r>
      <w:r w:rsidRPr="00FF4987">
        <w:t xml:space="preserve"> </w:t>
      </w:r>
      <w:r w:rsidRPr="00FF4987">
        <w:tab/>
        <w:t xml:space="preserve">Datu avots: 2014. gada </w:t>
      </w:r>
      <w:r w:rsidRPr="00FF4987">
        <w:rPr>
          <w:lang w:val="lv-LV"/>
        </w:rPr>
        <w:t>oktobra</w:t>
      </w:r>
      <w:r w:rsidRPr="00FF4987">
        <w:t xml:space="preserve"> </w:t>
      </w:r>
      <w:r w:rsidRPr="00FF4987">
        <w:rPr>
          <w:lang w:val="lv-LV"/>
        </w:rPr>
        <w:t>vispārējās valdības</w:t>
      </w:r>
      <w:r w:rsidRPr="00FF4987">
        <w:t xml:space="preserve"> budžeta deficīta un parāda notifikācija</w:t>
      </w:r>
      <w:r w:rsidRPr="00FF4987">
        <w:rPr>
          <w:lang w:val="lv-LV"/>
        </w:rPr>
        <w:t xml:space="preserve"> (2007. – 2013. gadam) un FM indikatīvs novērtējums 2014. gadam.</w:t>
      </w:r>
    </w:p>
  </w:footnote>
  <w:footnote w:id="5">
    <w:p w14:paraId="341930BE" w14:textId="77777777" w:rsidR="000039CF" w:rsidRPr="00FF4987" w:rsidRDefault="000039CF" w:rsidP="008B7372">
      <w:pPr>
        <w:pStyle w:val="FootnoteText"/>
        <w:jc w:val="both"/>
        <w:rPr>
          <w:lang w:val="lv-LV"/>
        </w:rPr>
      </w:pPr>
      <w:r w:rsidRPr="00FF4987">
        <w:rPr>
          <w:rStyle w:val="FootnoteReference"/>
          <w:rFonts w:ascii="Times New Roman" w:eastAsiaTheme="majorEastAsia" w:hAnsi="Times New Roman"/>
        </w:rPr>
        <w:footnoteRef/>
      </w:r>
      <w:r w:rsidRPr="00FF4987">
        <w:t xml:space="preserve"> </w:t>
      </w:r>
      <w:r w:rsidRPr="00FF4987">
        <w:tab/>
      </w:r>
      <w:r w:rsidRPr="00FF4987">
        <w:rPr>
          <w:lang w:val="lv-LV"/>
        </w:rPr>
        <w:t xml:space="preserve">Vispārējās valdības sektora dalījums </w:t>
      </w:r>
      <w:r w:rsidRPr="00FF4987">
        <w:rPr>
          <w:noProof/>
          <w:lang w:val="lv-LV"/>
        </w:rPr>
        <w:t>apakšsektoros</w:t>
      </w:r>
      <w:r w:rsidRPr="00FF4987">
        <w:rPr>
          <w:lang w:val="lv-LV"/>
        </w:rPr>
        <w:t xml:space="preserve"> definēts </w:t>
      </w:r>
      <w:r w:rsidRPr="00FF4987">
        <w:rPr>
          <w:lang w:val="lv-LV" w:eastAsia="lv-LV"/>
        </w:rPr>
        <w:t>saskaņā ar Eiropas nacionālo un reģionālo kontu sistēmu ES. Konsolidētā kopbudžeta nacionālajā uzskaites metodoloģijā ar centrālo valdību identificē valsts pamatbudžetu, no valsts budžeta daļēji finansēto atvasināto publisko personu budžetus un budžeta nefinansēto iestāžu budžetus; sociālās nodrošināšanas fondi – valsts sociālās apdrošināšanas speciālais budžets; vietējā valdība – pašvaldību budžeti.</w:t>
      </w:r>
      <w:r w:rsidRPr="00FF4987">
        <w:rPr>
          <w:color w:val="0D3051"/>
          <w:sz w:val="18"/>
          <w:szCs w:val="18"/>
        </w:rPr>
        <w:t xml:space="preserve"> </w:t>
      </w:r>
    </w:p>
  </w:footnote>
  <w:footnote w:id="6">
    <w:p w14:paraId="6B0E1E83" w14:textId="500AB041" w:rsidR="000039CF" w:rsidRPr="00FF4987" w:rsidRDefault="000039CF" w:rsidP="008B7372">
      <w:pPr>
        <w:pStyle w:val="FootnoteText"/>
        <w:jc w:val="both"/>
        <w:rPr>
          <w:lang w:val="lv-LV"/>
        </w:rPr>
      </w:pPr>
      <w:r w:rsidRPr="00FF4987">
        <w:rPr>
          <w:rStyle w:val="FootnoteReference"/>
          <w:rFonts w:ascii="Times New Roman" w:eastAsiaTheme="majorEastAsia" w:hAnsi="Times New Roman"/>
        </w:rPr>
        <w:footnoteRef/>
      </w:r>
      <w:r w:rsidRPr="00FF4987">
        <w:t xml:space="preserve"> </w:t>
      </w:r>
      <w:r w:rsidRPr="00FF4987">
        <w:tab/>
        <w:t xml:space="preserve">Datu avots: 2014. gada </w:t>
      </w:r>
      <w:r w:rsidRPr="00FF4987">
        <w:rPr>
          <w:lang w:val="lv-LV"/>
        </w:rPr>
        <w:t>oktobra</w:t>
      </w:r>
      <w:r w:rsidRPr="00FF4987">
        <w:t xml:space="preserve"> </w:t>
      </w:r>
      <w:r w:rsidRPr="00FF4987">
        <w:rPr>
          <w:lang w:val="lv-LV"/>
        </w:rPr>
        <w:t>vispārējās valdības</w:t>
      </w:r>
      <w:r w:rsidRPr="00FF4987">
        <w:t xml:space="preserve"> budžeta deficīta un parāda notifikācija</w:t>
      </w:r>
      <w:r w:rsidRPr="00FF4987">
        <w:rPr>
          <w:lang w:val="lv-LV"/>
        </w:rPr>
        <w:t xml:space="preserve"> (2007. – 2013.gadam) un FM indikatīvs novērtējums (2014.gadam).</w:t>
      </w:r>
    </w:p>
  </w:footnote>
  <w:footnote w:id="7">
    <w:p w14:paraId="30579F0F" w14:textId="77777777" w:rsidR="000039CF" w:rsidRPr="00FF4987" w:rsidRDefault="000039CF" w:rsidP="008B7372">
      <w:pPr>
        <w:pStyle w:val="FootnoteText"/>
        <w:ind w:left="0" w:firstLine="0"/>
        <w:jc w:val="both"/>
        <w:rPr>
          <w:lang w:val="lv-LV"/>
        </w:rPr>
      </w:pPr>
      <w:r w:rsidRPr="00FF4987">
        <w:rPr>
          <w:rStyle w:val="FootnoteReference"/>
          <w:rFonts w:ascii="Times New Roman" w:eastAsiaTheme="majorEastAsia" w:hAnsi="Times New Roman"/>
        </w:rPr>
        <w:footnoteRef/>
      </w:r>
      <w:r w:rsidRPr="00FF4987">
        <w:t xml:space="preserve"> </w:t>
      </w:r>
      <w:r w:rsidRPr="00FF4987">
        <w:rPr>
          <w:lang w:val="lv-LV"/>
        </w:rPr>
        <w:t xml:space="preserve">SIP nosaka maksimāli iespējamo strukturālo deficītu, lai nodrošinātu, ka nepastāv risks, ka nominālais deficīts varētu pārsniegt Māstrihtas kritēriju 3% robežu, jeb tā saucamā </w:t>
      </w:r>
      <w:r w:rsidRPr="00FF4987">
        <w:t>drošības rezervi attiecībā pret deficīta atsauces vērtību</w:t>
      </w:r>
      <w:r w:rsidRPr="00FF4987">
        <w:rPr>
          <w:lang w:val="lv-LV"/>
        </w:rPr>
        <w:t xml:space="preserve">. Šī drošības rezerve katrai ES dalībvalstij ir specifiska un Latvijai tā ir 1,8% no IKP. Saskaņā ar </w:t>
      </w:r>
      <w:r w:rsidRPr="00FF4987">
        <w:t>Regul</w:t>
      </w:r>
      <w:r w:rsidRPr="00FF4987">
        <w:rPr>
          <w:lang w:val="lv-LV"/>
        </w:rPr>
        <w:t>u</w:t>
      </w:r>
      <w:r w:rsidRPr="00FF4987">
        <w:t xml:space="preserve"> </w:t>
      </w:r>
      <w:r w:rsidRPr="00FF4987">
        <w:rPr>
          <w:lang w:val="lv-LV"/>
        </w:rPr>
        <w:t>N</w:t>
      </w:r>
      <w:r w:rsidRPr="00FF4987">
        <w:t>r. 1175/2011</w:t>
      </w:r>
      <w:r w:rsidRPr="00FF4987">
        <w:rPr>
          <w:lang w:val="lv-LV"/>
        </w:rPr>
        <w:t>, jebkura atkāpe nedrīkst būt tik liela, lai pārsniegtu šo drošības rezervi, tātad Latvijai jebkura kumulatīvā atkāpe no VTM nedrīkst pieļaut strukturālo deficītu, kas būtu lielāks par 1,8% no IKP. Šo lielumu aprēķina reizinot “tipisko” izlaižu starpības absolūto vērtību ar budžeta elastības (</w:t>
      </w:r>
      <w:r w:rsidRPr="00FF4987">
        <w:rPr>
          <w:i/>
          <w:lang w:val="lv-LV"/>
        </w:rPr>
        <w:t>semi-elasticity</w:t>
      </w:r>
      <w:r w:rsidRPr="00FF4987">
        <w:rPr>
          <w:lang w:val="lv-LV"/>
        </w:rPr>
        <w:t xml:space="preserve">) koeficientu un rezultātu atskaitot no 3% Māstrihtas deficīta lieluma. Jāatzīmē, ka budžeta elastības koeficients ir pārskatīts un Latvijas gadījumā paaugstināts no 0,28 uz 0,38. Šī iemesla dēļ, pieņemot, ka “tipiskās” izlaižu starpības lieluma nemainās, drošības rezervei būtu jāsamazinās no 1,8% uz 1,4%. Saskaņā ar Latvijas rīcībā esošo informāciju, 2015.gadā EK neplāno pārskatīt drošības rezerves lielumu, tāpēc 2016.gadā ir saglabāta drošības rezerve 1,8% apmērā. Tomēr, veidojot piesardzīgu fiskālo politiku, Latvija pieņem, ka 2016.gadā drošības rezerve varētu tikt pārskatīta, izmantojot jauno budžeta elastības koeficientu, tāpēc 2017. un 2018 gados tiek izmantota jaunā drošības rezerve, kas ir 1,4%.  </w:t>
      </w:r>
    </w:p>
  </w:footnote>
  <w:footnote w:id="8">
    <w:p w14:paraId="232AB3D6" w14:textId="77777777" w:rsidR="000039CF" w:rsidRPr="00FF4987" w:rsidRDefault="000039CF" w:rsidP="008B7372">
      <w:pPr>
        <w:pStyle w:val="FootnoteText"/>
        <w:ind w:left="0" w:firstLine="0"/>
        <w:jc w:val="both"/>
      </w:pPr>
      <w:r w:rsidRPr="00FF4987">
        <w:rPr>
          <w:rStyle w:val="FootnoteReference"/>
          <w:rFonts w:ascii="Times New Roman" w:eastAsiaTheme="majorEastAsia" w:hAnsi="Times New Roman"/>
        </w:rPr>
        <w:footnoteRef/>
      </w:r>
      <w:r w:rsidRPr="00FF4987">
        <w:t xml:space="preserve"> NAP 2014-2020 [5].</w:t>
      </w:r>
    </w:p>
  </w:footnote>
  <w:footnote w:id="9">
    <w:p w14:paraId="3841D8E2" w14:textId="0ADA9139" w:rsidR="000039CF" w:rsidRPr="00FF4987" w:rsidRDefault="000039CF" w:rsidP="008B7372">
      <w:pPr>
        <w:pStyle w:val="FootnoteText"/>
        <w:ind w:left="0" w:firstLine="0"/>
        <w:jc w:val="both"/>
      </w:pPr>
      <w:r w:rsidRPr="00FF4987">
        <w:rPr>
          <w:rStyle w:val="FootnoteReference"/>
          <w:rFonts w:ascii="Times New Roman" w:eastAsiaTheme="majorEastAsia" w:hAnsi="Times New Roman"/>
        </w:rPr>
        <w:footnoteRef/>
      </w:r>
      <w:r w:rsidRPr="00FF4987">
        <w:t xml:space="preserve"> </w:t>
      </w:r>
      <w:r w:rsidRPr="00FF4987">
        <w:rPr>
          <w:i/>
          <w:lang w:val="lv-LV"/>
        </w:rPr>
        <w:t>Klaus Schwab, The Global Competitiveness Report 2014-2015, World Economic Forum</w:t>
      </w:r>
      <w:r w:rsidRPr="00FF4987">
        <w:rPr>
          <w:lang w:val="lv-LV"/>
        </w:rPr>
        <w:t>: forums</w:t>
      </w:r>
      <w:r w:rsidRPr="00FF4987">
        <w:t>http://www3.weforum.org/docs/WEF_GlobalCompetitivenessReport_2014-15.pdf</w:t>
      </w:r>
    </w:p>
  </w:footnote>
  <w:footnote w:id="10">
    <w:p w14:paraId="3EB5068A" w14:textId="3985E7FE" w:rsidR="000039CF" w:rsidRPr="00FF4987" w:rsidRDefault="000039CF" w:rsidP="008B7372">
      <w:pPr>
        <w:pStyle w:val="FootnoteText"/>
        <w:jc w:val="both"/>
        <w:rPr>
          <w:lang w:val="lv-LV"/>
        </w:rPr>
      </w:pPr>
      <w:r w:rsidRPr="00FF4987">
        <w:rPr>
          <w:rStyle w:val="FootnoteReference"/>
          <w:rFonts w:ascii="Times New Roman" w:hAnsi="Times New Roman"/>
        </w:rPr>
        <w:footnoteRef/>
      </w:r>
      <w:r w:rsidRPr="00FF4987">
        <w:t xml:space="preserve"> </w:t>
      </w:r>
      <w:r w:rsidRPr="00FF4987">
        <w:tab/>
      </w:r>
      <w:r w:rsidRPr="00FF4987">
        <w:rPr>
          <w:rFonts w:eastAsia="Calibri"/>
        </w:rPr>
        <w:t xml:space="preserve">Datu avots – Lietuvai – </w:t>
      </w:r>
      <w:r w:rsidRPr="00FF4987">
        <w:rPr>
          <w:rFonts w:eastAsia="Calibri"/>
          <w:i/>
        </w:rPr>
        <w:t>Eurostat</w:t>
      </w:r>
      <w:r w:rsidRPr="00FF4987">
        <w:rPr>
          <w:rFonts w:eastAsia="Calibri"/>
        </w:rPr>
        <w:t xml:space="preserve"> līdz 2012.gadam, 2013. – 2017.gadam Konverģences programma 2014. – 2017.gadam; Igaunijai – </w:t>
      </w:r>
      <w:r w:rsidRPr="00FF4987">
        <w:rPr>
          <w:rFonts w:eastAsia="Calibri"/>
          <w:i/>
        </w:rPr>
        <w:t>Eurostat</w:t>
      </w:r>
      <w:r w:rsidRPr="00FF4987">
        <w:rPr>
          <w:rFonts w:eastAsia="Calibri"/>
        </w:rPr>
        <w:t xml:space="preserve"> līdz 2013.gadam, 2014. -2015.gadam Vispārējās valdības budžeta plāna projekts 2015.gadam; Latvijai - </w:t>
      </w:r>
      <w:r w:rsidRPr="00FF4987">
        <w:rPr>
          <w:rFonts w:eastAsia="Calibri"/>
          <w:i/>
        </w:rPr>
        <w:t>Eurostat</w:t>
      </w:r>
      <w:r w:rsidRPr="00FF4987">
        <w:rPr>
          <w:rFonts w:eastAsia="Calibri"/>
        </w:rPr>
        <w:t xml:space="preserve"> līdz 2012.gadam, Latvijas Centrālās statistikas pārvalde 2013.gadam, 2014. – 2018.gadam Stabilitātes programma 2015. – 2018.gadam.</w:t>
      </w:r>
    </w:p>
  </w:footnote>
  <w:footnote w:id="11">
    <w:p w14:paraId="2900C9B1" w14:textId="554AC52F" w:rsidR="000039CF" w:rsidRPr="00FF4987" w:rsidRDefault="000039CF" w:rsidP="008B7372">
      <w:pPr>
        <w:pStyle w:val="FootnoteText"/>
        <w:jc w:val="both"/>
      </w:pPr>
      <w:r w:rsidRPr="00FF4987">
        <w:rPr>
          <w:rStyle w:val="FootnoteReference"/>
          <w:rFonts w:ascii="Times New Roman" w:eastAsiaTheme="majorEastAsia" w:hAnsi="Times New Roman"/>
        </w:rPr>
        <w:footnoteRef/>
      </w:r>
      <w:r w:rsidRPr="00FF4987">
        <w:t xml:space="preserve"> EU-</w:t>
      </w:r>
      <w:r w:rsidRPr="00FF4987">
        <w:rPr>
          <w:color w:val="auto"/>
        </w:rPr>
        <w:t xml:space="preserve">SILC </w:t>
      </w:r>
      <w:r w:rsidRPr="00FF4987">
        <w:rPr>
          <w:rFonts w:eastAsiaTheme="minorHAnsi"/>
          <w:color w:val="auto"/>
        </w:rPr>
        <w:t>(</w:t>
      </w:r>
      <w:r w:rsidRPr="00FF4987">
        <w:rPr>
          <w:i/>
          <w:color w:val="auto"/>
          <w:shd w:val="clear" w:color="auto" w:fill="FFFFFF"/>
        </w:rPr>
        <w:t>The European Union Statistics on Income and Living Conditions</w:t>
      </w:r>
      <w:r w:rsidRPr="00FF4987">
        <w:rPr>
          <w:lang w:val="lv-LV"/>
        </w:rPr>
        <w:t>)</w:t>
      </w:r>
      <w:r w:rsidRPr="00FF4987">
        <w:t xml:space="preserve"> 2013, CSP</w:t>
      </w:r>
    </w:p>
  </w:footnote>
  <w:footnote w:id="12">
    <w:p w14:paraId="1E464D51" w14:textId="77777777" w:rsidR="000039CF" w:rsidRPr="00FF4987" w:rsidRDefault="000039CF" w:rsidP="008B7372">
      <w:pPr>
        <w:pStyle w:val="FootnoteText"/>
        <w:jc w:val="both"/>
      </w:pPr>
      <w:r w:rsidRPr="00FF4987">
        <w:rPr>
          <w:rStyle w:val="FootnoteReference"/>
          <w:rFonts w:ascii="Times New Roman" w:eastAsiaTheme="majorEastAsia" w:hAnsi="Times New Roman"/>
        </w:rPr>
        <w:footnoteRef/>
      </w:r>
      <w:r w:rsidRPr="00FF4987">
        <w:t xml:space="preserve"> </w:t>
      </w:r>
      <w:r w:rsidRPr="00FF4987">
        <w:rPr>
          <w:i/>
        </w:rPr>
        <w:t>Eurostat</w:t>
      </w:r>
      <w:r w:rsidRPr="00FF4987">
        <w:t xml:space="preserve"> dati.</w:t>
      </w:r>
    </w:p>
  </w:footnote>
  <w:footnote w:id="13">
    <w:p w14:paraId="0A10D0E1" w14:textId="77777777" w:rsidR="000039CF" w:rsidRPr="00FF4987" w:rsidRDefault="000039CF" w:rsidP="008B7372">
      <w:pPr>
        <w:pStyle w:val="FootnoteText"/>
        <w:jc w:val="both"/>
      </w:pPr>
      <w:r w:rsidRPr="00FF4987">
        <w:rPr>
          <w:rStyle w:val="FootnoteReference"/>
          <w:rFonts w:ascii="Times New Roman" w:eastAsiaTheme="majorEastAsia" w:hAnsi="Times New Roman"/>
        </w:rPr>
        <w:footnoteRef/>
      </w:r>
      <w:r w:rsidRPr="00FF4987">
        <w:t xml:space="preserve"> Nacionālās attīstības plāns 2014.-2020.gadam</w:t>
      </w:r>
    </w:p>
  </w:footnote>
  <w:footnote w:id="14">
    <w:p w14:paraId="2243D0F3" w14:textId="77777777" w:rsidR="000039CF" w:rsidRPr="00FF4987" w:rsidRDefault="000039CF" w:rsidP="008B7372">
      <w:pPr>
        <w:pStyle w:val="FootnoteText"/>
        <w:jc w:val="both"/>
      </w:pPr>
      <w:r w:rsidRPr="00FF4987">
        <w:rPr>
          <w:rStyle w:val="FootnoteReference"/>
          <w:rFonts w:ascii="Times New Roman" w:eastAsiaTheme="majorEastAsia" w:hAnsi="Times New Roman"/>
        </w:rPr>
        <w:footnoteRef/>
      </w:r>
      <w:r w:rsidRPr="00FF4987">
        <w:t xml:space="preserve"> Atbilstoši Pētījumam, pesimistiskais variants paredz, ka veselības nozares budžets ir 3% no IKP sākot ar 2014.gadu.</w:t>
      </w:r>
    </w:p>
  </w:footnote>
  <w:footnote w:id="15">
    <w:p w14:paraId="6071B4D2" w14:textId="362961E6" w:rsidR="000039CF" w:rsidRPr="00FF4987" w:rsidRDefault="000039CF" w:rsidP="008B7372">
      <w:pPr>
        <w:pStyle w:val="FootnoteText"/>
        <w:jc w:val="both"/>
      </w:pPr>
      <w:r w:rsidRPr="00FF4987">
        <w:rPr>
          <w:rStyle w:val="FootnoteReference"/>
          <w:rFonts w:ascii="Times New Roman" w:eastAsiaTheme="majorEastAsia" w:hAnsi="Times New Roman"/>
        </w:rPr>
        <w:footnoteRef/>
      </w:r>
      <w:r w:rsidRPr="00FF4987">
        <w:t xml:space="preserve"> Pētījumā ir izmantots pieņēmums, ka laika posmā no 2013. gada līdz 2020. gadam vecuma grupai 0–64 g. tiks izmantoti 71% no kopējiem veselības aprūpes izdevumiem.</w:t>
      </w:r>
    </w:p>
  </w:footnote>
  <w:footnote w:id="16">
    <w:p w14:paraId="0532D5C0" w14:textId="77777777" w:rsidR="000039CF" w:rsidRPr="00FF4987" w:rsidRDefault="000039CF" w:rsidP="008B7372">
      <w:pPr>
        <w:pStyle w:val="FootnoteText"/>
        <w:jc w:val="both"/>
      </w:pPr>
      <w:r w:rsidRPr="00FF4987">
        <w:rPr>
          <w:rStyle w:val="FootnoteReference"/>
          <w:rFonts w:ascii="Times New Roman" w:eastAsiaTheme="majorEastAsia" w:hAnsi="Times New Roman"/>
        </w:rPr>
        <w:footnoteRef/>
      </w:r>
      <w:r w:rsidRPr="00FF4987">
        <w:t xml:space="preserve"> Nozares funkciju pildīšana nemainīgā līmenī.</w:t>
      </w:r>
    </w:p>
  </w:footnote>
  <w:footnote w:id="17">
    <w:p w14:paraId="5B960709" w14:textId="77777777" w:rsidR="000039CF" w:rsidRPr="00FF4987" w:rsidRDefault="000039CF" w:rsidP="008B7372">
      <w:pPr>
        <w:pStyle w:val="FootnoteText"/>
        <w:spacing w:after="240"/>
        <w:jc w:val="both"/>
        <w:rPr>
          <w:lang w:val="lv-LV"/>
        </w:rPr>
      </w:pPr>
      <w:r w:rsidRPr="00FF4987">
        <w:rPr>
          <w:rStyle w:val="FootnoteReference"/>
          <w:rFonts w:ascii="Times New Roman" w:eastAsiaTheme="majorEastAsia" w:hAnsi="Times New Roman"/>
        </w:rPr>
        <w:footnoteRef/>
      </w:r>
      <w:r w:rsidRPr="00FF4987">
        <w:t xml:space="preserve"> </w:t>
      </w:r>
      <w:r w:rsidRPr="00FF4987">
        <w:rPr>
          <w:lang w:val="lv-LV"/>
        </w:rPr>
        <w:t xml:space="preserve">    </w:t>
      </w:r>
      <w:r w:rsidRPr="00FF4987">
        <w:t>Budžeta bilances cikliskās komponentes aprēķinā izmantota budžeta pus-elast</w:t>
      </w:r>
      <w:r w:rsidRPr="00FF4987">
        <w:rPr>
          <w:lang w:val="lv-LV"/>
        </w:rPr>
        <w:t>ība</w:t>
      </w:r>
      <w:r w:rsidRPr="00FF4987">
        <w:t xml:space="preserve"> 0,3</w:t>
      </w:r>
      <w:r w:rsidRPr="00FF4987">
        <w:rPr>
          <w:lang w:val="lv-LV"/>
        </w:rPr>
        <w:t>8</w:t>
      </w:r>
      <w:r w:rsidRPr="00FF4987">
        <w:t xml:space="preserve"> (Datu avots: </w:t>
      </w:r>
      <w:r w:rsidRPr="00FF4987">
        <w:rPr>
          <w:lang w:val="en-GB"/>
        </w:rPr>
        <w:t>Adjusting the budget balance for the business cycle: the EU methodology</w:t>
      </w:r>
      <w:r w:rsidRPr="00FF4987">
        <w:rPr>
          <w:noProof/>
          <w:szCs w:val="24"/>
          <w:lang w:val="en-GB"/>
        </w:rPr>
        <w:t>, Economic Papers 536, November 2014).</w:t>
      </w:r>
    </w:p>
  </w:footnote>
  <w:footnote w:id="18">
    <w:p w14:paraId="2598B917" w14:textId="77777777" w:rsidR="000039CF" w:rsidRPr="00FF4987" w:rsidRDefault="000039CF" w:rsidP="008B7372">
      <w:pPr>
        <w:pStyle w:val="FootnoteText"/>
        <w:jc w:val="both"/>
        <w:rPr>
          <w:lang w:val="lv-LV"/>
        </w:rPr>
      </w:pPr>
      <w:r w:rsidRPr="00FF4987">
        <w:rPr>
          <w:rStyle w:val="FootnoteReference"/>
          <w:rFonts w:ascii="Times New Roman" w:hAnsi="Times New Roman"/>
        </w:rPr>
        <w:footnoteRef/>
      </w:r>
      <w:r w:rsidRPr="00FF4987">
        <w:t xml:space="preserve"> </w:t>
      </w:r>
      <w:r w:rsidRPr="00FF4987">
        <w:rPr>
          <w:lang w:val="lv-LV"/>
        </w:rPr>
        <w:t>Šeit un turpmākajās nodokļu politikas izmaiņu ietekmes tabulās atspoguļota ieviešanas gada ietekme</w:t>
      </w:r>
    </w:p>
  </w:footnote>
  <w:footnote w:id="19">
    <w:p w14:paraId="6F017282" w14:textId="77777777" w:rsidR="000039CF" w:rsidRPr="00FF4987" w:rsidRDefault="000039CF" w:rsidP="008B7372">
      <w:pPr>
        <w:pStyle w:val="FootnoteText"/>
        <w:jc w:val="both"/>
      </w:pPr>
      <w:r w:rsidRPr="00FF4987">
        <w:rPr>
          <w:rStyle w:val="FootnoteReference"/>
          <w:rFonts w:ascii="Times New Roman" w:hAnsi="Times New Roman"/>
        </w:rPr>
        <w:footnoteRef/>
      </w:r>
      <w:r w:rsidRPr="00FF4987">
        <w:t xml:space="preserve"> Neskaitot iemaksas valsts fondēto pensiju shēmā.</w:t>
      </w:r>
    </w:p>
  </w:footnote>
  <w:footnote w:id="20">
    <w:p w14:paraId="2592C630" w14:textId="4EBBB02A" w:rsidR="000039CF" w:rsidRPr="00FF4987" w:rsidRDefault="000039CF" w:rsidP="008B7372">
      <w:pPr>
        <w:spacing w:after="0"/>
        <w:jc w:val="both"/>
        <w:rPr>
          <w:rFonts w:ascii="Times New Roman" w:hAnsi="Times New Roman" w:cs="Times New Roman"/>
          <w:sz w:val="16"/>
        </w:rPr>
      </w:pPr>
      <w:r w:rsidRPr="00FF4987">
        <w:rPr>
          <w:rStyle w:val="FootnoteReference"/>
          <w:rFonts w:ascii="Times New Roman" w:hAnsi="Times New Roman" w:cs="Times New Roman"/>
        </w:rPr>
        <w:footnoteRef/>
      </w:r>
      <w:r w:rsidRPr="00FF4987">
        <w:rPr>
          <w:rFonts w:ascii="Times New Roman" w:hAnsi="Times New Roman" w:cs="Times New Roman"/>
          <w:sz w:val="20"/>
        </w:rPr>
        <w:t>S</w:t>
      </w:r>
      <w:r w:rsidRPr="00FF4987">
        <w:rPr>
          <w:rFonts w:ascii="Times New Roman" w:hAnsi="Times New Roman" w:cs="Times New Roman"/>
          <w:iCs/>
          <w:sz w:val="20"/>
        </w:rPr>
        <w:t>askaņā ar</w:t>
      </w:r>
      <w:r w:rsidRPr="00FF4987">
        <w:rPr>
          <w:rFonts w:ascii="Times New Roman" w:hAnsi="Times New Roman" w:cs="Times New Roman"/>
          <w:sz w:val="20"/>
        </w:rPr>
        <w:t xml:space="preserve"> EKS metodoloģiju, sociālās apdrošināšanas iemaksas, kas tiek novirzītas valsts fondēto pensiju shēmā, netiek uzskaitītas kā vispārējās valdības budžeta ieņēmumi.</w:t>
      </w:r>
    </w:p>
  </w:footnote>
  <w:footnote w:id="21">
    <w:p w14:paraId="0AC9D4B7" w14:textId="77777777" w:rsidR="000039CF" w:rsidRPr="00FF4987" w:rsidRDefault="000039CF" w:rsidP="008B7372">
      <w:pPr>
        <w:pStyle w:val="FootnoteText"/>
        <w:jc w:val="both"/>
        <w:rPr>
          <w:lang w:val="lv-LV"/>
        </w:rPr>
      </w:pPr>
      <w:r w:rsidRPr="00FF4987">
        <w:rPr>
          <w:rStyle w:val="FootnoteReference"/>
          <w:rFonts w:ascii="Times New Roman" w:hAnsi="Times New Roman"/>
        </w:rPr>
        <w:footnoteRef/>
      </w:r>
      <w:r w:rsidRPr="00FF4987">
        <w:t xml:space="preserve"> Neskaitot iemaksas valsts fondēto pensiju shēmā.</w:t>
      </w:r>
    </w:p>
  </w:footnote>
  <w:footnote w:id="22">
    <w:p w14:paraId="643363BF" w14:textId="77777777" w:rsidR="000039CF" w:rsidRPr="00FF4987" w:rsidRDefault="000039CF" w:rsidP="008B7372">
      <w:pPr>
        <w:pStyle w:val="FootnoteText"/>
        <w:jc w:val="both"/>
        <w:rPr>
          <w:lang w:val="lv-LV"/>
        </w:rPr>
      </w:pPr>
      <w:r w:rsidRPr="00FF4987">
        <w:rPr>
          <w:rStyle w:val="FootnoteReference"/>
          <w:rFonts w:ascii="Times New Roman" w:hAnsi="Times New Roman"/>
        </w:rPr>
        <w:footnoteRef/>
      </w:r>
      <w:r w:rsidRPr="00FF4987">
        <w:rPr>
          <w:lang w:val="lv-LV"/>
        </w:rPr>
        <w:t xml:space="preserve"> Fiscal governance in the EU Member States</w:t>
      </w:r>
    </w:p>
    <w:p w14:paraId="039DC23D" w14:textId="1DA86EEC" w:rsidR="000039CF" w:rsidRPr="00FF4987" w:rsidRDefault="00FE657D" w:rsidP="008B7372">
      <w:pPr>
        <w:pStyle w:val="FootnoteText"/>
        <w:jc w:val="both"/>
        <w:rPr>
          <w:lang w:val="lv-LV"/>
        </w:rPr>
      </w:pPr>
      <w:hyperlink r:id="rId1" w:history="1">
        <w:r w:rsidR="000039CF" w:rsidRPr="00FF4987">
          <w:rPr>
            <w:rStyle w:val="Hyperlink"/>
          </w:rPr>
          <w:t>http://ec.europa.eu/economy_finance/db_indicators/fiscal_governance/index_en.htm</w:t>
        </w:r>
      </w:hyperlink>
      <w:r w:rsidR="000039CF" w:rsidRPr="00FF4987">
        <w:rPr>
          <w:lang w:val="lv-LV"/>
        </w:rPr>
        <w:t xml:space="preserve"> </w:t>
      </w:r>
    </w:p>
  </w:footnote>
  <w:footnote w:id="23">
    <w:p w14:paraId="4803EFE5" w14:textId="77777777" w:rsidR="000039CF" w:rsidRPr="00FF4987" w:rsidRDefault="000039CF" w:rsidP="008B7372">
      <w:pPr>
        <w:pStyle w:val="FootnoteText"/>
        <w:ind w:left="-284" w:right="-285" w:hanging="142"/>
        <w:jc w:val="both"/>
        <w:rPr>
          <w:lang w:val="lv-LV"/>
        </w:rPr>
      </w:pPr>
      <w:r w:rsidRPr="00FF4987">
        <w:rPr>
          <w:rStyle w:val="FootnoteReference"/>
          <w:rFonts w:ascii="Times New Roman" w:hAnsi="Times New Roman"/>
        </w:rPr>
        <w:footnoteRef/>
      </w:r>
      <w:r w:rsidRPr="00FF4987">
        <w:t xml:space="preserve"> </w:t>
      </w:r>
      <w:r w:rsidRPr="00FF4987">
        <w:rPr>
          <w:lang w:val="lv-LV"/>
        </w:rPr>
        <w:t xml:space="preserve">Tiek pieņemts, ka visa izveidojusies fiskālā telpa, attiecīgi 2017.gadā 1,1% no IKP un 2018.gadā 1,9% no IKP tiek izmantota papildus izdevumiem, bet tā kā nav pieņemti politiski lēmumi par šīs starpības sadalījumu, tiek pieņemts, ka tā tiek sadalīta proporcionāli pa izdevumu kategorijām attiecīgajos gados, par pamatu pieņemot atsevišķu izdevumu kategoriju proporciju pret kopējiem izdevumiem pie nemainīgas politikas scenārija. Aprēķinot atsevišķu izdevumu kategoriju proporciju pret kopējiem izdevumiem pie nemainīgas politikas scenārija, no aprēķina tiek izslēgtas sekojošas izdevumu kategorijas: procentu izdevumi, subsīdiju izdevumi un kapitālo izdevumu transferti. Šāda pieeja tiek izmantota, jo tiek pieņemts, ka fiskālā telpa uz šīm izdevumu kategorijām netiek pārdalīta.  </w:t>
      </w:r>
    </w:p>
  </w:footnote>
  <w:footnote w:id="24">
    <w:p w14:paraId="561ABCEF" w14:textId="1DFA0233" w:rsidR="000039CF" w:rsidRPr="00FF4987" w:rsidRDefault="000039CF" w:rsidP="008B7372">
      <w:pPr>
        <w:spacing w:after="0"/>
        <w:jc w:val="both"/>
        <w:rPr>
          <w:rFonts w:ascii="Times New Roman" w:hAnsi="Times New Roman" w:cs="Times New Roman"/>
          <w:szCs w:val="24"/>
        </w:rPr>
      </w:pPr>
      <w:r w:rsidRPr="00FF4987">
        <w:rPr>
          <w:rStyle w:val="FootnoteReference"/>
          <w:rFonts w:ascii="Times New Roman" w:hAnsi="Times New Roman" w:cs="Times New Roman"/>
        </w:rPr>
        <w:footnoteRef/>
      </w:r>
      <w:r w:rsidRPr="00FF4987">
        <w:rPr>
          <w:rFonts w:ascii="Times New Roman" w:hAnsi="Times New Roman" w:cs="Times New Roman"/>
        </w:rPr>
        <w:t xml:space="preserve"> </w:t>
      </w:r>
      <w:r w:rsidRPr="00FF4987">
        <w:rPr>
          <w:rFonts w:ascii="Times New Roman" w:eastAsia="Times New Roman" w:hAnsi="Times New Roman" w:cs="Times New Roman"/>
          <w:sz w:val="20"/>
          <w:szCs w:val="20"/>
          <w:lang w:eastAsia="lv-LV"/>
        </w:rPr>
        <w:t xml:space="preserve">Datu avots: </w:t>
      </w:r>
      <w:r w:rsidRPr="00FF4987">
        <w:rPr>
          <w:rFonts w:ascii="Times New Roman" w:eastAsia="Times New Roman" w:hAnsi="Times New Roman" w:cs="Times New Roman"/>
          <w:i/>
          <w:sz w:val="20"/>
          <w:szCs w:val="20"/>
          <w:lang w:eastAsia="lv-LV"/>
        </w:rPr>
        <w:t>The 2015 Ageing Report: Underlying Assumptions and Projection Methodologies</w:t>
      </w:r>
      <w:r w:rsidRPr="00FF4987">
        <w:rPr>
          <w:rFonts w:ascii="Times New Roman" w:eastAsia="Times New Roman" w:hAnsi="Times New Roman" w:cs="Times New Roman"/>
          <w:sz w:val="20"/>
          <w:szCs w:val="20"/>
          <w:lang w:eastAsia="lv-LV"/>
        </w:rPr>
        <w:t>,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727"/>
    <w:multiLevelType w:val="hybridMultilevel"/>
    <w:tmpl w:val="6548E4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33F47AC"/>
    <w:multiLevelType w:val="hybridMultilevel"/>
    <w:tmpl w:val="8A9AC17A"/>
    <w:lvl w:ilvl="0" w:tplc="04260001">
      <w:start w:val="1"/>
      <w:numFmt w:val="bullet"/>
      <w:lvlText w:val=""/>
      <w:lvlJc w:val="left"/>
      <w:pPr>
        <w:ind w:left="2289" w:hanging="360"/>
      </w:pPr>
      <w:rPr>
        <w:rFonts w:ascii="Symbol" w:hAnsi="Symbol" w:hint="default"/>
      </w:rPr>
    </w:lvl>
    <w:lvl w:ilvl="1" w:tplc="04260003" w:tentative="1">
      <w:start w:val="1"/>
      <w:numFmt w:val="bullet"/>
      <w:lvlText w:val="o"/>
      <w:lvlJc w:val="left"/>
      <w:pPr>
        <w:ind w:left="3009" w:hanging="360"/>
      </w:pPr>
      <w:rPr>
        <w:rFonts w:ascii="Courier New" w:hAnsi="Courier New" w:cs="Courier New" w:hint="default"/>
      </w:rPr>
    </w:lvl>
    <w:lvl w:ilvl="2" w:tplc="04260005" w:tentative="1">
      <w:start w:val="1"/>
      <w:numFmt w:val="bullet"/>
      <w:lvlText w:val=""/>
      <w:lvlJc w:val="left"/>
      <w:pPr>
        <w:ind w:left="3729" w:hanging="360"/>
      </w:pPr>
      <w:rPr>
        <w:rFonts w:ascii="Wingdings" w:hAnsi="Wingdings" w:hint="default"/>
      </w:rPr>
    </w:lvl>
    <w:lvl w:ilvl="3" w:tplc="04260001" w:tentative="1">
      <w:start w:val="1"/>
      <w:numFmt w:val="bullet"/>
      <w:lvlText w:val=""/>
      <w:lvlJc w:val="left"/>
      <w:pPr>
        <w:ind w:left="4449" w:hanging="360"/>
      </w:pPr>
      <w:rPr>
        <w:rFonts w:ascii="Symbol" w:hAnsi="Symbol" w:hint="default"/>
      </w:rPr>
    </w:lvl>
    <w:lvl w:ilvl="4" w:tplc="04260003" w:tentative="1">
      <w:start w:val="1"/>
      <w:numFmt w:val="bullet"/>
      <w:lvlText w:val="o"/>
      <w:lvlJc w:val="left"/>
      <w:pPr>
        <w:ind w:left="5169" w:hanging="360"/>
      </w:pPr>
      <w:rPr>
        <w:rFonts w:ascii="Courier New" w:hAnsi="Courier New" w:cs="Courier New" w:hint="default"/>
      </w:rPr>
    </w:lvl>
    <w:lvl w:ilvl="5" w:tplc="04260005" w:tentative="1">
      <w:start w:val="1"/>
      <w:numFmt w:val="bullet"/>
      <w:lvlText w:val=""/>
      <w:lvlJc w:val="left"/>
      <w:pPr>
        <w:ind w:left="5889" w:hanging="360"/>
      </w:pPr>
      <w:rPr>
        <w:rFonts w:ascii="Wingdings" w:hAnsi="Wingdings" w:hint="default"/>
      </w:rPr>
    </w:lvl>
    <w:lvl w:ilvl="6" w:tplc="04260001" w:tentative="1">
      <w:start w:val="1"/>
      <w:numFmt w:val="bullet"/>
      <w:lvlText w:val=""/>
      <w:lvlJc w:val="left"/>
      <w:pPr>
        <w:ind w:left="6609" w:hanging="360"/>
      </w:pPr>
      <w:rPr>
        <w:rFonts w:ascii="Symbol" w:hAnsi="Symbol" w:hint="default"/>
      </w:rPr>
    </w:lvl>
    <w:lvl w:ilvl="7" w:tplc="04260003" w:tentative="1">
      <w:start w:val="1"/>
      <w:numFmt w:val="bullet"/>
      <w:lvlText w:val="o"/>
      <w:lvlJc w:val="left"/>
      <w:pPr>
        <w:ind w:left="7329" w:hanging="360"/>
      </w:pPr>
      <w:rPr>
        <w:rFonts w:ascii="Courier New" w:hAnsi="Courier New" w:cs="Courier New" w:hint="default"/>
      </w:rPr>
    </w:lvl>
    <w:lvl w:ilvl="8" w:tplc="04260005" w:tentative="1">
      <w:start w:val="1"/>
      <w:numFmt w:val="bullet"/>
      <w:lvlText w:val=""/>
      <w:lvlJc w:val="left"/>
      <w:pPr>
        <w:ind w:left="8049" w:hanging="360"/>
      </w:pPr>
      <w:rPr>
        <w:rFonts w:ascii="Wingdings" w:hAnsi="Wingdings" w:hint="default"/>
      </w:rPr>
    </w:lvl>
  </w:abstractNum>
  <w:abstractNum w:abstractNumId="2">
    <w:nsid w:val="03EB054E"/>
    <w:multiLevelType w:val="hybridMultilevel"/>
    <w:tmpl w:val="488A5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57B7F76"/>
    <w:multiLevelType w:val="hybridMultilevel"/>
    <w:tmpl w:val="2794D25E"/>
    <w:lvl w:ilvl="0" w:tplc="0426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1675E1"/>
    <w:multiLevelType w:val="hybridMultilevel"/>
    <w:tmpl w:val="17F4376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08D50B21"/>
    <w:multiLevelType w:val="hybridMultilevel"/>
    <w:tmpl w:val="6A827FBA"/>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6">
    <w:nsid w:val="0F6E1A9E"/>
    <w:multiLevelType w:val="hybridMultilevel"/>
    <w:tmpl w:val="5630C26A"/>
    <w:lvl w:ilvl="0" w:tplc="04260001">
      <w:start w:val="1"/>
      <w:numFmt w:val="bullet"/>
      <w:lvlText w:val=""/>
      <w:lvlJc w:val="left"/>
      <w:pPr>
        <w:ind w:left="2727" w:hanging="360"/>
      </w:pPr>
      <w:rPr>
        <w:rFonts w:ascii="Symbol" w:hAnsi="Symbol" w:hint="default"/>
      </w:rPr>
    </w:lvl>
    <w:lvl w:ilvl="1" w:tplc="04260003" w:tentative="1">
      <w:start w:val="1"/>
      <w:numFmt w:val="bullet"/>
      <w:lvlText w:val="o"/>
      <w:lvlJc w:val="left"/>
      <w:pPr>
        <w:ind w:left="3447" w:hanging="360"/>
      </w:pPr>
      <w:rPr>
        <w:rFonts w:ascii="Courier New" w:hAnsi="Courier New" w:cs="Courier New" w:hint="default"/>
      </w:rPr>
    </w:lvl>
    <w:lvl w:ilvl="2" w:tplc="04260005" w:tentative="1">
      <w:start w:val="1"/>
      <w:numFmt w:val="bullet"/>
      <w:lvlText w:val=""/>
      <w:lvlJc w:val="left"/>
      <w:pPr>
        <w:ind w:left="4167" w:hanging="360"/>
      </w:pPr>
      <w:rPr>
        <w:rFonts w:ascii="Wingdings" w:hAnsi="Wingdings" w:hint="default"/>
      </w:rPr>
    </w:lvl>
    <w:lvl w:ilvl="3" w:tplc="04260001" w:tentative="1">
      <w:start w:val="1"/>
      <w:numFmt w:val="bullet"/>
      <w:lvlText w:val=""/>
      <w:lvlJc w:val="left"/>
      <w:pPr>
        <w:ind w:left="4887" w:hanging="360"/>
      </w:pPr>
      <w:rPr>
        <w:rFonts w:ascii="Symbol" w:hAnsi="Symbol" w:hint="default"/>
      </w:rPr>
    </w:lvl>
    <w:lvl w:ilvl="4" w:tplc="04260003" w:tentative="1">
      <w:start w:val="1"/>
      <w:numFmt w:val="bullet"/>
      <w:lvlText w:val="o"/>
      <w:lvlJc w:val="left"/>
      <w:pPr>
        <w:ind w:left="5607" w:hanging="360"/>
      </w:pPr>
      <w:rPr>
        <w:rFonts w:ascii="Courier New" w:hAnsi="Courier New" w:cs="Courier New" w:hint="default"/>
      </w:rPr>
    </w:lvl>
    <w:lvl w:ilvl="5" w:tplc="04260005" w:tentative="1">
      <w:start w:val="1"/>
      <w:numFmt w:val="bullet"/>
      <w:lvlText w:val=""/>
      <w:lvlJc w:val="left"/>
      <w:pPr>
        <w:ind w:left="6327" w:hanging="360"/>
      </w:pPr>
      <w:rPr>
        <w:rFonts w:ascii="Wingdings" w:hAnsi="Wingdings" w:hint="default"/>
      </w:rPr>
    </w:lvl>
    <w:lvl w:ilvl="6" w:tplc="04260001" w:tentative="1">
      <w:start w:val="1"/>
      <w:numFmt w:val="bullet"/>
      <w:lvlText w:val=""/>
      <w:lvlJc w:val="left"/>
      <w:pPr>
        <w:ind w:left="7047" w:hanging="360"/>
      </w:pPr>
      <w:rPr>
        <w:rFonts w:ascii="Symbol" w:hAnsi="Symbol" w:hint="default"/>
      </w:rPr>
    </w:lvl>
    <w:lvl w:ilvl="7" w:tplc="04260003" w:tentative="1">
      <w:start w:val="1"/>
      <w:numFmt w:val="bullet"/>
      <w:lvlText w:val="o"/>
      <w:lvlJc w:val="left"/>
      <w:pPr>
        <w:ind w:left="7767" w:hanging="360"/>
      </w:pPr>
      <w:rPr>
        <w:rFonts w:ascii="Courier New" w:hAnsi="Courier New" w:cs="Courier New" w:hint="default"/>
      </w:rPr>
    </w:lvl>
    <w:lvl w:ilvl="8" w:tplc="04260005" w:tentative="1">
      <w:start w:val="1"/>
      <w:numFmt w:val="bullet"/>
      <w:lvlText w:val=""/>
      <w:lvlJc w:val="left"/>
      <w:pPr>
        <w:ind w:left="8487" w:hanging="360"/>
      </w:pPr>
      <w:rPr>
        <w:rFonts w:ascii="Wingdings" w:hAnsi="Wingdings" w:hint="default"/>
      </w:rPr>
    </w:lvl>
  </w:abstractNum>
  <w:abstractNum w:abstractNumId="7">
    <w:nsid w:val="10FD65B5"/>
    <w:multiLevelType w:val="hybridMultilevel"/>
    <w:tmpl w:val="A64C20B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12852153"/>
    <w:multiLevelType w:val="hybridMultilevel"/>
    <w:tmpl w:val="278C813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82775B"/>
    <w:multiLevelType w:val="multilevel"/>
    <w:tmpl w:val="61E4D4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CE2025"/>
    <w:multiLevelType w:val="hybridMultilevel"/>
    <w:tmpl w:val="E9C01060"/>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12">
    <w:nsid w:val="1C080CE6"/>
    <w:multiLevelType w:val="hybridMultilevel"/>
    <w:tmpl w:val="EA38E6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34F3C53"/>
    <w:multiLevelType w:val="hybridMultilevel"/>
    <w:tmpl w:val="F1E804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11B02A4"/>
    <w:multiLevelType w:val="hybridMultilevel"/>
    <w:tmpl w:val="EC704792"/>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5">
    <w:nsid w:val="37185738"/>
    <w:multiLevelType w:val="hybridMultilevel"/>
    <w:tmpl w:val="78945E2A"/>
    <w:lvl w:ilvl="0" w:tplc="0426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E823FD7"/>
    <w:multiLevelType w:val="hybridMultilevel"/>
    <w:tmpl w:val="ADAE6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E9E066A"/>
    <w:multiLevelType w:val="hybridMultilevel"/>
    <w:tmpl w:val="8D509706"/>
    <w:lvl w:ilvl="0" w:tplc="04260001">
      <w:start w:val="1"/>
      <w:numFmt w:val="bullet"/>
      <w:lvlText w:val=""/>
      <w:lvlJc w:val="left"/>
      <w:pPr>
        <w:ind w:left="2721" w:hanging="360"/>
      </w:pPr>
      <w:rPr>
        <w:rFonts w:ascii="Symbol" w:hAnsi="Symbol" w:hint="default"/>
      </w:rPr>
    </w:lvl>
    <w:lvl w:ilvl="1" w:tplc="04260003" w:tentative="1">
      <w:start w:val="1"/>
      <w:numFmt w:val="bullet"/>
      <w:lvlText w:val="o"/>
      <w:lvlJc w:val="left"/>
      <w:pPr>
        <w:ind w:left="3441" w:hanging="360"/>
      </w:pPr>
      <w:rPr>
        <w:rFonts w:ascii="Courier New" w:hAnsi="Courier New" w:cs="Courier New" w:hint="default"/>
      </w:rPr>
    </w:lvl>
    <w:lvl w:ilvl="2" w:tplc="04260005" w:tentative="1">
      <w:start w:val="1"/>
      <w:numFmt w:val="bullet"/>
      <w:lvlText w:val=""/>
      <w:lvlJc w:val="left"/>
      <w:pPr>
        <w:ind w:left="4161" w:hanging="360"/>
      </w:pPr>
      <w:rPr>
        <w:rFonts w:ascii="Wingdings" w:hAnsi="Wingdings" w:hint="default"/>
      </w:rPr>
    </w:lvl>
    <w:lvl w:ilvl="3" w:tplc="04260001" w:tentative="1">
      <w:start w:val="1"/>
      <w:numFmt w:val="bullet"/>
      <w:lvlText w:val=""/>
      <w:lvlJc w:val="left"/>
      <w:pPr>
        <w:ind w:left="4881" w:hanging="360"/>
      </w:pPr>
      <w:rPr>
        <w:rFonts w:ascii="Symbol" w:hAnsi="Symbol" w:hint="default"/>
      </w:rPr>
    </w:lvl>
    <w:lvl w:ilvl="4" w:tplc="04260003" w:tentative="1">
      <w:start w:val="1"/>
      <w:numFmt w:val="bullet"/>
      <w:lvlText w:val="o"/>
      <w:lvlJc w:val="left"/>
      <w:pPr>
        <w:ind w:left="5601" w:hanging="360"/>
      </w:pPr>
      <w:rPr>
        <w:rFonts w:ascii="Courier New" w:hAnsi="Courier New" w:cs="Courier New" w:hint="default"/>
      </w:rPr>
    </w:lvl>
    <w:lvl w:ilvl="5" w:tplc="04260005" w:tentative="1">
      <w:start w:val="1"/>
      <w:numFmt w:val="bullet"/>
      <w:lvlText w:val=""/>
      <w:lvlJc w:val="left"/>
      <w:pPr>
        <w:ind w:left="6321" w:hanging="360"/>
      </w:pPr>
      <w:rPr>
        <w:rFonts w:ascii="Wingdings" w:hAnsi="Wingdings" w:hint="default"/>
      </w:rPr>
    </w:lvl>
    <w:lvl w:ilvl="6" w:tplc="04260001" w:tentative="1">
      <w:start w:val="1"/>
      <w:numFmt w:val="bullet"/>
      <w:lvlText w:val=""/>
      <w:lvlJc w:val="left"/>
      <w:pPr>
        <w:ind w:left="7041" w:hanging="360"/>
      </w:pPr>
      <w:rPr>
        <w:rFonts w:ascii="Symbol" w:hAnsi="Symbol" w:hint="default"/>
      </w:rPr>
    </w:lvl>
    <w:lvl w:ilvl="7" w:tplc="04260003" w:tentative="1">
      <w:start w:val="1"/>
      <w:numFmt w:val="bullet"/>
      <w:lvlText w:val="o"/>
      <w:lvlJc w:val="left"/>
      <w:pPr>
        <w:ind w:left="7761" w:hanging="360"/>
      </w:pPr>
      <w:rPr>
        <w:rFonts w:ascii="Courier New" w:hAnsi="Courier New" w:cs="Courier New" w:hint="default"/>
      </w:rPr>
    </w:lvl>
    <w:lvl w:ilvl="8" w:tplc="04260005" w:tentative="1">
      <w:start w:val="1"/>
      <w:numFmt w:val="bullet"/>
      <w:lvlText w:val=""/>
      <w:lvlJc w:val="left"/>
      <w:pPr>
        <w:ind w:left="8481" w:hanging="360"/>
      </w:pPr>
      <w:rPr>
        <w:rFonts w:ascii="Wingdings" w:hAnsi="Wingdings" w:hint="default"/>
      </w:rPr>
    </w:lvl>
  </w:abstractNum>
  <w:abstractNum w:abstractNumId="18">
    <w:nsid w:val="40901FCA"/>
    <w:multiLevelType w:val="hybridMultilevel"/>
    <w:tmpl w:val="875C57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nsid w:val="465908B0"/>
    <w:multiLevelType w:val="hybridMultilevel"/>
    <w:tmpl w:val="E0942F3C"/>
    <w:lvl w:ilvl="0" w:tplc="0A88643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8510364"/>
    <w:multiLevelType w:val="hybridMultilevel"/>
    <w:tmpl w:val="959CFC2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9737A83"/>
    <w:multiLevelType w:val="hybridMultilevel"/>
    <w:tmpl w:val="914EF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B86285A"/>
    <w:multiLevelType w:val="hybridMultilevel"/>
    <w:tmpl w:val="57E667D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nsid w:val="5139334D"/>
    <w:multiLevelType w:val="hybridMultilevel"/>
    <w:tmpl w:val="916C501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51A14E55"/>
    <w:multiLevelType w:val="hybridMultilevel"/>
    <w:tmpl w:val="3EE07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7B172A3"/>
    <w:multiLevelType w:val="hybridMultilevel"/>
    <w:tmpl w:val="611CD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F1F64A7"/>
    <w:multiLevelType w:val="hybridMultilevel"/>
    <w:tmpl w:val="4BA8BB50"/>
    <w:lvl w:ilvl="0" w:tplc="04260001">
      <w:start w:val="1"/>
      <w:numFmt w:val="bullet"/>
      <w:lvlText w:val=""/>
      <w:lvlJc w:val="left"/>
      <w:pPr>
        <w:ind w:left="2517" w:hanging="360"/>
      </w:pPr>
      <w:rPr>
        <w:rFonts w:ascii="Symbol" w:hAnsi="Symbol" w:hint="default"/>
      </w:rPr>
    </w:lvl>
    <w:lvl w:ilvl="1" w:tplc="04260003" w:tentative="1">
      <w:start w:val="1"/>
      <w:numFmt w:val="bullet"/>
      <w:lvlText w:val="o"/>
      <w:lvlJc w:val="left"/>
      <w:pPr>
        <w:ind w:left="3237" w:hanging="360"/>
      </w:pPr>
      <w:rPr>
        <w:rFonts w:ascii="Courier New" w:hAnsi="Courier New" w:cs="Courier New" w:hint="default"/>
      </w:rPr>
    </w:lvl>
    <w:lvl w:ilvl="2" w:tplc="04260005" w:tentative="1">
      <w:start w:val="1"/>
      <w:numFmt w:val="bullet"/>
      <w:lvlText w:val=""/>
      <w:lvlJc w:val="left"/>
      <w:pPr>
        <w:ind w:left="3957" w:hanging="360"/>
      </w:pPr>
      <w:rPr>
        <w:rFonts w:ascii="Wingdings" w:hAnsi="Wingdings" w:hint="default"/>
      </w:rPr>
    </w:lvl>
    <w:lvl w:ilvl="3" w:tplc="04260001" w:tentative="1">
      <w:start w:val="1"/>
      <w:numFmt w:val="bullet"/>
      <w:lvlText w:val=""/>
      <w:lvlJc w:val="left"/>
      <w:pPr>
        <w:ind w:left="4677" w:hanging="360"/>
      </w:pPr>
      <w:rPr>
        <w:rFonts w:ascii="Symbol" w:hAnsi="Symbol" w:hint="default"/>
      </w:rPr>
    </w:lvl>
    <w:lvl w:ilvl="4" w:tplc="04260003" w:tentative="1">
      <w:start w:val="1"/>
      <w:numFmt w:val="bullet"/>
      <w:lvlText w:val="o"/>
      <w:lvlJc w:val="left"/>
      <w:pPr>
        <w:ind w:left="5397" w:hanging="360"/>
      </w:pPr>
      <w:rPr>
        <w:rFonts w:ascii="Courier New" w:hAnsi="Courier New" w:cs="Courier New" w:hint="default"/>
      </w:rPr>
    </w:lvl>
    <w:lvl w:ilvl="5" w:tplc="04260005" w:tentative="1">
      <w:start w:val="1"/>
      <w:numFmt w:val="bullet"/>
      <w:lvlText w:val=""/>
      <w:lvlJc w:val="left"/>
      <w:pPr>
        <w:ind w:left="6117" w:hanging="360"/>
      </w:pPr>
      <w:rPr>
        <w:rFonts w:ascii="Wingdings" w:hAnsi="Wingdings" w:hint="default"/>
      </w:rPr>
    </w:lvl>
    <w:lvl w:ilvl="6" w:tplc="04260001" w:tentative="1">
      <w:start w:val="1"/>
      <w:numFmt w:val="bullet"/>
      <w:lvlText w:val=""/>
      <w:lvlJc w:val="left"/>
      <w:pPr>
        <w:ind w:left="6837" w:hanging="360"/>
      </w:pPr>
      <w:rPr>
        <w:rFonts w:ascii="Symbol" w:hAnsi="Symbol" w:hint="default"/>
      </w:rPr>
    </w:lvl>
    <w:lvl w:ilvl="7" w:tplc="04260003" w:tentative="1">
      <w:start w:val="1"/>
      <w:numFmt w:val="bullet"/>
      <w:lvlText w:val="o"/>
      <w:lvlJc w:val="left"/>
      <w:pPr>
        <w:ind w:left="7557" w:hanging="360"/>
      </w:pPr>
      <w:rPr>
        <w:rFonts w:ascii="Courier New" w:hAnsi="Courier New" w:cs="Courier New" w:hint="default"/>
      </w:rPr>
    </w:lvl>
    <w:lvl w:ilvl="8" w:tplc="04260005" w:tentative="1">
      <w:start w:val="1"/>
      <w:numFmt w:val="bullet"/>
      <w:lvlText w:val=""/>
      <w:lvlJc w:val="left"/>
      <w:pPr>
        <w:ind w:left="8277" w:hanging="360"/>
      </w:pPr>
      <w:rPr>
        <w:rFonts w:ascii="Wingdings" w:hAnsi="Wingdings" w:hint="default"/>
      </w:rPr>
    </w:lvl>
  </w:abstractNum>
  <w:abstractNum w:abstractNumId="27">
    <w:nsid w:val="60C76F07"/>
    <w:multiLevelType w:val="hybridMultilevel"/>
    <w:tmpl w:val="75D6F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09002B7"/>
    <w:multiLevelType w:val="hybridMultilevel"/>
    <w:tmpl w:val="993CF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0BB0E1E"/>
    <w:multiLevelType w:val="hybridMultilevel"/>
    <w:tmpl w:val="8CC4B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75367ADD"/>
    <w:multiLevelType w:val="hybridMultilevel"/>
    <w:tmpl w:val="AA90BF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nsid w:val="76894A64"/>
    <w:multiLevelType w:val="hybridMultilevel"/>
    <w:tmpl w:val="875C57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nsid w:val="7ACC3921"/>
    <w:multiLevelType w:val="hybridMultilevel"/>
    <w:tmpl w:val="C95C670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3">
    <w:nsid w:val="7B511985"/>
    <w:multiLevelType w:val="multilevel"/>
    <w:tmpl w:val="DEF87212"/>
    <w:lvl w:ilvl="0">
      <w:start w:val="1"/>
      <w:numFmt w:val="decimal"/>
      <w:lvlText w:val="%1."/>
      <w:lvlJc w:val="left"/>
      <w:pPr>
        <w:ind w:left="720" w:hanging="360"/>
      </w:pPr>
      <w:rPr>
        <w:rFonts w:hint="default"/>
        <w:sz w:val="32"/>
      </w:rPr>
    </w:lvl>
    <w:lvl w:ilvl="1">
      <w:start w:val="1"/>
      <w:numFmt w:val="decimal"/>
      <w:isLgl/>
      <w:lvlText w:val="%1.%2."/>
      <w:lvlJc w:val="left"/>
      <w:pPr>
        <w:ind w:left="1296" w:hanging="720"/>
      </w:pPr>
      <w:rPr>
        <w:rFonts w:ascii="Times New Roman" w:hAnsi="Times New Roman" w:cs="Times New Roman" w:hint="default"/>
        <w:sz w:val="24"/>
      </w:rPr>
    </w:lvl>
    <w:lvl w:ilvl="2">
      <w:start w:val="1"/>
      <w:numFmt w:val="decimal"/>
      <w:isLgl/>
      <w:lvlText w:val="%1.%2.%3."/>
      <w:lvlJc w:val="left"/>
      <w:pPr>
        <w:ind w:left="1004"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num w:numId="1">
    <w:abstractNumId w:val="33"/>
  </w:num>
  <w:num w:numId="2">
    <w:abstractNumId w:val="10"/>
  </w:num>
  <w:num w:numId="3">
    <w:abstractNumId w:val="9"/>
  </w:num>
  <w:num w:numId="4">
    <w:abstractNumId w:val="16"/>
  </w:num>
  <w:num w:numId="5">
    <w:abstractNumId w:val="25"/>
  </w:num>
  <w:num w:numId="6">
    <w:abstractNumId w:val="0"/>
  </w:num>
  <w:num w:numId="7">
    <w:abstractNumId w:val="29"/>
  </w:num>
  <w:num w:numId="8">
    <w:abstractNumId w:val="4"/>
  </w:num>
  <w:num w:numId="9">
    <w:abstractNumId w:val="1"/>
  </w:num>
  <w:num w:numId="10">
    <w:abstractNumId w:val="13"/>
  </w:num>
  <w:num w:numId="11">
    <w:abstractNumId w:val="8"/>
  </w:num>
  <w:num w:numId="12">
    <w:abstractNumId w:val="19"/>
  </w:num>
  <w:num w:numId="13">
    <w:abstractNumId w:val="21"/>
  </w:num>
  <w:num w:numId="14">
    <w:abstractNumId w:val="27"/>
  </w:num>
  <w:num w:numId="15">
    <w:abstractNumId w:val="23"/>
  </w:num>
  <w:num w:numId="16">
    <w:abstractNumId w:val="28"/>
  </w:num>
  <w:num w:numId="17">
    <w:abstractNumId w:val="18"/>
  </w:num>
  <w:num w:numId="18">
    <w:abstractNumId w:val="7"/>
  </w:num>
  <w:num w:numId="19">
    <w:abstractNumId w:val="24"/>
  </w:num>
  <w:num w:numId="20">
    <w:abstractNumId w:val="12"/>
  </w:num>
  <w:num w:numId="21">
    <w:abstractNumId w:val="11"/>
  </w:num>
  <w:num w:numId="22">
    <w:abstractNumId w:val="2"/>
  </w:num>
  <w:num w:numId="23">
    <w:abstractNumId w:val="22"/>
  </w:num>
  <w:num w:numId="24">
    <w:abstractNumId w:val="30"/>
  </w:num>
  <w:num w:numId="25">
    <w:abstractNumId w:val="26"/>
  </w:num>
  <w:num w:numId="26">
    <w:abstractNumId w:val="17"/>
  </w:num>
  <w:num w:numId="27">
    <w:abstractNumId w:val="14"/>
  </w:num>
  <w:num w:numId="28">
    <w:abstractNumId w:val="5"/>
  </w:num>
  <w:num w:numId="29">
    <w:abstractNumId w:val="6"/>
  </w:num>
  <w:num w:numId="30">
    <w:abstractNumId w:val="3"/>
  </w:num>
  <w:num w:numId="31">
    <w:abstractNumId w:val="15"/>
  </w:num>
  <w:num w:numId="32">
    <w:abstractNumId w:val="20"/>
  </w:num>
  <w:num w:numId="33">
    <w:abstractNumId w:val="32"/>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31"/>
  </w:num>
  <w:num w:numId="4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11"/>
    <w:rsid w:val="000039CF"/>
    <w:rsid w:val="000047C9"/>
    <w:rsid w:val="000144E7"/>
    <w:rsid w:val="00032492"/>
    <w:rsid w:val="00044011"/>
    <w:rsid w:val="0007049D"/>
    <w:rsid w:val="00075AE8"/>
    <w:rsid w:val="00075DEB"/>
    <w:rsid w:val="0009609E"/>
    <w:rsid w:val="000B2F72"/>
    <w:rsid w:val="000B76F4"/>
    <w:rsid w:val="001058C2"/>
    <w:rsid w:val="001106C6"/>
    <w:rsid w:val="00116EF0"/>
    <w:rsid w:val="00142A2C"/>
    <w:rsid w:val="001537FA"/>
    <w:rsid w:val="001E1858"/>
    <w:rsid w:val="001E2E7A"/>
    <w:rsid w:val="001F01DA"/>
    <w:rsid w:val="0020740D"/>
    <w:rsid w:val="002230F0"/>
    <w:rsid w:val="00232B17"/>
    <w:rsid w:val="00245C37"/>
    <w:rsid w:val="00252E16"/>
    <w:rsid w:val="002605DD"/>
    <w:rsid w:val="002C10FB"/>
    <w:rsid w:val="002D4880"/>
    <w:rsid w:val="002D4AED"/>
    <w:rsid w:val="002D6792"/>
    <w:rsid w:val="002E7E06"/>
    <w:rsid w:val="003028D0"/>
    <w:rsid w:val="00325295"/>
    <w:rsid w:val="003666E9"/>
    <w:rsid w:val="003A79E2"/>
    <w:rsid w:val="003B4685"/>
    <w:rsid w:val="003C2897"/>
    <w:rsid w:val="003D1496"/>
    <w:rsid w:val="003D38BE"/>
    <w:rsid w:val="003E52A2"/>
    <w:rsid w:val="003F78CC"/>
    <w:rsid w:val="003F7B43"/>
    <w:rsid w:val="00400D0D"/>
    <w:rsid w:val="00421D0B"/>
    <w:rsid w:val="0043197A"/>
    <w:rsid w:val="004375A0"/>
    <w:rsid w:val="00455171"/>
    <w:rsid w:val="00457572"/>
    <w:rsid w:val="00475C4D"/>
    <w:rsid w:val="00486064"/>
    <w:rsid w:val="004903E4"/>
    <w:rsid w:val="004B569B"/>
    <w:rsid w:val="004C6CC5"/>
    <w:rsid w:val="004C7E0F"/>
    <w:rsid w:val="004E0D45"/>
    <w:rsid w:val="004F7910"/>
    <w:rsid w:val="00527227"/>
    <w:rsid w:val="00530C46"/>
    <w:rsid w:val="00542988"/>
    <w:rsid w:val="00551458"/>
    <w:rsid w:val="005536A9"/>
    <w:rsid w:val="0057255A"/>
    <w:rsid w:val="0057754A"/>
    <w:rsid w:val="005812B4"/>
    <w:rsid w:val="00595A9A"/>
    <w:rsid w:val="005A7265"/>
    <w:rsid w:val="005B38F7"/>
    <w:rsid w:val="005C432D"/>
    <w:rsid w:val="005F6C02"/>
    <w:rsid w:val="005F7408"/>
    <w:rsid w:val="006042AA"/>
    <w:rsid w:val="00612F17"/>
    <w:rsid w:val="00623757"/>
    <w:rsid w:val="006462D5"/>
    <w:rsid w:val="00656E6E"/>
    <w:rsid w:val="006573ED"/>
    <w:rsid w:val="00697FC6"/>
    <w:rsid w:val="006A4D1B"/>
    <w:rsid w:val="006E3A48"/>
    <w:rsid w:val="007022BB"/>
    <w:rsid w:val="007127D8"/>
    <w:rsid w:val="00716665"/>
    <w:rsid w:val="007322C9"/>
    <w:rsid w:val="00741A3B"/>
    <w:rsid w:val="007524E5"/>
    <w:rsid w:val="00780B40"/>
    <w:rsid w:val="007B70FA"/>
    <w:rsid w:val="007B7965"/>
    <w:rsid w:val="007D1C4A"/>
    <w:rsid w:val="007D6DCE"/>
    <w:rsid w:val="007E26F6"/>
    <w:rsid w:val="007E5182"/>
    <w:rsid w:val="007E51A4"/>
    <w:rsid w:val="008055B0"/>
    <w:rsid w:val="00873615"/>
    <w:rsid w:val="00874D93"/>
    <w:rsid w:val="008920E5"/>
    <w:rsid w:val="008B7372"/>
    <w:rsid w:val="008F7460"/>
    <w:rsid w:val="00904AE5"/>
    <w:rsid w:val="009267FC"/>
    <w:rsid w:val="00963696"/>
    <w:rsid w:val="009720A1"/>
    <w:rsid w:val="009944F6"/>
    <w:rsid w:val="009B6D03"/>
    <w:rsid w:val="009C5694"/>
    <w:rsid w:val="009D0D0E"/>
    <w:rsid w:val="00A02E4F"/>
    <w:rsid w:val="00A118B2"/>
    <w:rsid w:val="00A142DE"/>
    <w:rsid w:val="00A156DB"/>
    <w:rsid w:val="00A24A4C"/>
    <w:rsid w:val="00A30BF7"/>
    <w:rsid w:val="00A34463"/>
    <w:rsid w:val="00A35E0B"/>
    <w:rsid w:val="00A8142A"/>
    <w:rsid w:val="00A81504"/>
    <w:rsid w:val="00A93989"/>
    <w:rsid w:val="00AC1747"/>
    <w:rsid w:val="00AC7CAB"/>
    <w:rsid w:val="00AE4549"/>
    <w:rsid w:val="00AE4E31"/>
    <w:rsid w:val="00AF0874"/>
    <w:rsid w:val="00B2482A"/>
    <w:rsid w:val="00B36A37"/>
    <w:rsid w:val="00B51338"/>
    <w:rsid w:val="00B51DE5"/>
    <w:rsid w:val="00B5365D"/>
    <w:rsid w:val="00B74609"/>
    <w:rsid w:val="00B82B2D"/>
    <w:rsid w:val="00B84C19"/>
    <w:rsid w:val="00BA77C4"/>
    <w:rsid w:val="00BB3847"/>
    <w:rsid w:val="00BD3877"/>
    <w:rsid w:val="00BE17DD"/>
    <w:rsid w:val="00C10259"/>
    <w:rsid w:val="00C81719"/>
    <w:rsid w:val="00C82114"/>
    <w:rsid w:val="00CB612C"/>
    <w:rsid w:val="00CC6037"/>
    <w:rsid w:val="00CD1F9B"/>
    <w:rsid w:val="00CE3B47"/>
    <w:rsid w:val="00D15EB0"/>
    <w:rsid w:val="00D32420"/>
    <w:rsid w:val="00D50473"/>
    <w:rsid w:val="00D811E2"/>
    <w:rsid w:val="00DB1EE8"/>
    <w:rsid w:val="00DB2B30"/>
    <w:rsid w:val="00DE47F7"/>
    <w:rsid w:val="00E055A8"/>
    <w:rsid w:val="00E42D7B"/>
    <w:rsid w:val="00E55BF9"/>
    <w:rsid w:val="00E55DCE"/>
    <w:rsid w:val="00E773FD"/>
    <w:rsid w:val="00EA23AB"/>
    <w:rsid w:val="00EC224A"/>
    <w:rsid w:val="00EC27F9"/>
    <w:rsid w:val="00EE7F46"/>
    <w:rsid w:val="00EF18F5"/>
    <w:rsid w:val="00EF6F09"/>
    <w:rsid w:val="00F00EDA"/>
    <w:rsid w:val="00F05D16"/>
    <w:rsid w:val="00F11D34"/>
    <w:rsid w:val="00F1620C"/>
    <w:rsid w:val="00F171EC"/>
    <w:rsid w:val="00F20A42"/>
    <w:rsid w:val="00F50BBF"/>
    <w:rsid w:val="00F512CA"/>
    <w:rsid w:val="00F51615"/>
    <w:rsid w:val="00F77032"/>
    <w:rsid w:val="00F87F41"/>
    <w:rsid w:val="00FA4740"/>
    <w:rsid w:val="00FB649B"/>
    <w:rsid w:val="00FD01EA"/>
    <w:rsid w:val="00FE657D"/>
    <w:rsid w:val="00FF4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CC"/>
  </w:style>
  <w:style w:type="paragraph" w:styleId="Heading1">
    <w:name w:val="heading 1"/>
    <w:basedOn w:val="Normal"/>
    <w:next w:val="Normal"/>
    <w:link w:val="Heading1Char"/>
    <w:uiPriority w:val="9"/>
    <w:qFormat/>
    <w:rsid w:val="003F78CC"/>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F78CC"/>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F78CC"/>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F78CC"/>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F78CC"/>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F78CC"/>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F78C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78C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8C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F78C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F78CC"/>
    <w:rPr>
      <w:color w:val="000000" w:themeColor="text1"/>
      <w:shd w:val="clear" w:color="auto" w:fill="F2F2F2" w:themeFill="background1" w:themeFillShade="F2"/>
    </w:rPr>
  </w:style>
  <w:style w:type="character" w:customStyle="1" w:styleId="Heading1Char">
    <w:name w:val="Heading 1 Char"/>
    <w:basedOn w:val="DefaultParagraphFont"/>
    <w:link w:val="Heading1"/>
    <w:uiPriority w:val="9"/>
    <w:rsid w:val="003F78C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F78C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F78C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F78C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F78C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F78C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F78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78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8C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F78C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F78C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F78C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F78C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F78CC"/>
    <w:rPr>
      <w:color w:val="5A5A5A" w:themeColor="text1" w:themeTint="A5"/>
      <w:spacing w:val="10"/>
    </w:rPr>
  </w:style>
  <w:style w:type="character" w:styleId="Strong">
    <w:name w:val="Strong"/>
    <w:basedOn w:val="DefaultParagraphFont"/>
    <w:uiPriority w:val="22"/>
    <w:qFormat/>
    <w:rsid w:val="003F78CC"/>
    <w:rPr>
      <w:b/>
      <w:bCs/>
      <w:color w:val="000000" w:themeColor="text1"/>
    </w:rPr>
  </w:style>
  <w:style w:type="character" w:styleId="Emphasis">
    <w:name w:val="Emphasis"/>
    <w:basedOn w:val="DefaultParagraphFont"/>
    <w:uiPriority w:val="20"/>
    <w:qFormat/>
    <w:rsid w:val="003F78CC"/>
    <w:rPr>
      <w:i/>
      <w:iCs/>
      <w:color w:val="auto"/>
    </w:rPr>
  </w:style>
  <w:style w:type="paragraph" w:styleId="NoSpacing">
    <w:name w:val="No Spacing"/>
    <w:link w:val="NoSpacingChar"/>
    <w:uiPriority w:val="1"/>
    <w:qFormat/>
    <w:rsid w:val="003F78CC"/>
    <w:pPr>
      <w:spacing w:after="0" w:line="240" w:lineRule="auto"/>
    </w:pPr>
  </w:style>
  <w:style w:type="paragraph" w:styleId="Quote">
    <w:name w:val="Quote"/>
    <w:basedOn w:val="Normal"/>
    <w:next w:val="Normal"/>
    <w:link w:val="QuoteChar"/>
    <w:uiPriority w:val="29"/>
    <w:qFormat/>
    <w:rsid w:val="003F78CC"/>
    <w:pPr>
      <w:spacing w:before="160"/>
      <w:ind w:left="720" w:right="720"/>
    </w:pPr>
    <w:rPr>
      <w:i/>
      <w:iCs/>
      <w:color w:val="000000" w:themeColor="text1"/>
    </w:rPr>
  </w:style>
  <w:style w:type="character" w:customStyle="1" w:styleId="QuoteChar">
    <w:name w:val="Quote Char"/>
    <w:basedOn w:val="DefaultParagraphFont"/>
    <w:link w:val="Quote"/>
    <w:uiPriority w:val="29"/>
    <w:rsid w:val="003F78CC"/>
    <w:rPr>
      <w:i/>
      <w:iCs/>
      <w:color w:val="000000" w:themeColor="text1"/>
    </w:rPr>
  </w:style>
  <w:style w:type="character" w:styleId="SubtleEmphasis">
    <w:name w:val="Subtle Emphasis"/>
    <w:basedOn w:val="DefaultParagraphFont"/>
    <w:uiPriority w:val="19"/>
    <w:qFormat/>
    <w:rsid w:val="003F78CC"/>
    <w:rPr>
      <w:i/>
      <w:iCs/>
      <w:color w:val="404040" w:themeColor="text1" w:themeTint="BF"/>
    </w:rPr>
  </w:style>
  <w:style w:type="character" w:styleId="IntenseEmphasis">
    <w:name w:val="Intense Emphasis"/>
    <w:basedOn w:val="DefaultParagraphFont"/>
    <w:uiPriority w:val="21"/>
    <w:qFormat/>
    <w:rsid w:val="003F78CC"/>
    <w:rPr>
      <w:b/>
      <w:bCs/>
      <w:i/>
      <w:iCs/>
      <w:caps/>
    </w:rPr>
  </w:style>
  <w:style w:type="character" w:styleId="SubtleReference">
    <w:name w:val="Subtle Reference"/>
    <w:basedOn w:val="DefaultParagraphFont"/>
    <w:uiPriority w:val="31"/>
    <w:qFormat/>
    <w:rsid w:val="003F78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78CC"/>
    <w:rPr>
      <w:b/>
      <w:bCs/>
      <w:smallCaps/>
      <w:u w:val="single"/>
    </w:rPr>
  </w:style>
  <w:style w:type="character" w:styleId="BookTitle">
    <w:name w:val="Book Title"/>
    <w:basedOn w:val="DefaultParagraphFont"/>
    <w:uiPriority w:val="33"/>
    <w:qFormat/>
    <w:rsid w:val="003F78CC"/>
    <w:rPr>
      <w:b w:val="0"/>
      <w:bCs w:val="0"/>
      <w:smallCaps/>
      <w:spacing w:val="5"/>
    </w:rPr>
  </w:style>
  <w:style w:type="paragraph" w:styleId="TOCHeading">
    <w:name w:val="TOC Heading"/>
    <w:basedOn w:val="Heading1"/>
    <w:next w:val="Normal"/>
    <w:uiPriority w:val="39"/>
    <w:unhideWhenUsed/>
    <w:qFormat/>
    <w:rsid w:val="003F78CC"/>
    <w:pPr>
      <w:outlineLvl w:val="9"/>
    </w:pPr>
  </w:style>
  <w:style w:type="character" w:customStyle="1" w:styleId="NoSpacingChar">
    <w:name w:val="No Spacing Char"/>
    <w:basedOn w:val="DefaultParagraphFont"/>
    <w:link w:val="NoSpacing"/>
    <w:uiPriority w:val="1"/>
    <w:rsid w:val="00044011"/>
  </w:style>
  <w:style w:type="paragraph" w:styleId="Header">
    <w:name w:val="header"/>
    <w:basedOn w:val="Normal"/>
    <w:link w:val="HeaderChar"/>
    <w:uiPriority w:val="99"/>
    <w:unhideWhenUsed/>
    <w:rsid w:val="006237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757"/>
  </w:style>
  <w:style w:type="paragraph" w:styleId="Footer">
    <w:name w:val="footer"/>
    <w:basedOn w:val="Normal"/>
    <w:link w:val="FooterChar"/>
    <w:uiPriority w:val="99"/>
    <w:unhideWhenUsed/>
    <w:rsid w:val="006237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757"/>
  </w:style>
  <w:style w:type="paragraph" w:styleId="ListParagraph">
    <w:name w:val="List Paragraph"/>
    <w:aliases w:val="2"/>
    <w:basedOn w:val="Normal"/>
    <w:link w:val="ListParagraphChar"/>
    <w:uiPriority w:val="34"/>
    <w:qFormat/>
    <w:rsid w:val="00A156DB"/>
    <w:pPr>
      <w:ind w:left="720"/>
      <w:contextualSpacing/>
    </w:pPr>
  </w:style>
  <w:style w:type="paragraph" w:customStyle="1" w:styleId="PIRMAIS">
    <w:name w:val="PIRMAIS"/>
    <w:basedOn w:val="Normal"/>
    <w:link w:val="PIRMAISChar"/>
    <w:qFormat/>
    <w:rsid w:val="003F78CC"/>
    <w:pPr>
      <w:keepNext/>
      <w:keepLines/>
      <w:pageBreakBefore/>
      <w:pBdr>
        <w:bottom w:val="thickThinLargeGap" w:sz="24" w:space="1" w:color="17365D"/>
      </w:pBdr>
      <w:tabs>
        <w:tab w:val="left" w:pos="567"/>
      </w:tabs>
      <w:spacing w:after="120" w:line="240" w:lineRule="auto"/>
      <w:ind w:left="567" w:hanging="567"/>
      <w:outlineLvl w:val="0"/>
    </w:pPr>
    <w:rPr>
      <w:rFonts w:ascii="Times New Roman" w:eastAsia="Times New Roman" w:hAnsi="Times New Roman" w:cs="Times New Roman"/>
      <w:b/>
      <w:sz w:val="36"/>
      <w:szCs w:val="20"/>
    </w:rPr>
  </w:style>
  <w:style w:type="character" w:customStyle="1" w:styleId="PIRMAISChar">
    <w:name w:val="PIRMAIS Char"/>
    <w:basedOn w:val="DefaultParagraphFont"/>
    <w:link w:val="PIRMAIS"/>
    <w:rsid w:val="003F78CC"/>
    <w:rPr>
      <w:rFonts w:ascii="Times New Roman" w:eastAsia="Times New Roman" w:hAnsi="Times New Roman" w:cs="Times New Roman"/>
      <w:b/>
      <w:sz w:val="36"/>
      <w:szCs w:val="20"/>
    </w:rPr>
  </w:style>
  <w:style w:type="character" w:styleId="PageNumber">
    <w:name w:val="page number"/>
    <w:basedOn w:val="DefaultParagraphFont"/>
    <w:rsid w:val="00F51615"/>
  </w:style>
  <w:style w:type="character" w:customStyle="1" w:styleId="HeaderChar1">
    <w:name w:val="Header Char1"/>
    <w:uiPriority w:val="99"/>
    <w:semiHidden/>
    <w:rsid w:val="00F51615"/>
    <w:rPr>
      <w:rFonts w:eastAsia="Times New Roman" w:cs="Times New Roman"/>
      <w:sz w:val="24"/>
      <w:szCs w:val="20"/>
    </w:rPr>
  </w:style>
  <w:style w:type="paragraph" w:customStyle="1" w:styleId="H1">
    <w:name w:val="H1"/>
    <w:link w:val="H1Char"/>
    <w:rsid w:val="00F51615"/>
    <w:pPr>
      <w:keepNext/>
      <w:keepLines/>
      <w:pageBreakBefore/>
      <w:pBdr>
        <w:bottom w:val="thickThinLargeGap" w:sz="24" w:space="1" w:color="17365D"/>
      </w:pBdr>
      <w:tabs>
        <w:tab w:val="left" w:pos="1134"/>
      </w:tabs>
      <w:spacing w:after="120" w:line="240" w:lineRule="auto"/>
      <w:ind w:left="1134" w:hanging="567"/>
      <w:outlineLvl w:val="0"/>
    </w:pPr>
    <w:rPr>
      <w:rFonts w:ascii="Times New Roman" w:eastAsia="Times New Roman" w:hAnsi="Times New Roman" w:cs="Times New Roman"/>
      <w:b/>
      <w:sz w:val="36"/>
      <w:szCs w:val="20"/>
    </w:rPr>
  </w:style>
  <w:style w:type="character" w:customStyle="1" w:styleId="H1Char">
    <w:name w:val="H1 Char"/>
    <w:link w:val="H1"/>
    <w:rsid w:val="00F51615"/>
    <w:rPr>
      <w:rFonts w:ascii="Times New Roman" w:eastAsia="Times New Roman" w:hAnsi="Times New Roman" w:cs="Times New Roman"/>
      <w:b/>
      <w:sz w:val="36"/>
      <w:szCs w:val="20"/>
    </w:rPr>
  </w:style>
  <w:style w:type="character" w:styleId="CommentReference">
    <w:name w:val="annotation reference"/>
    <w:uiPriority w:val="99"/>
    <w:semiHidden/>
    <w:unhideWhenUsed/>
    <w:rsid w:val="00F51615"/>
    <w:rPr>
      <w:sz w:val="16"/>
      <w:szCs w:val="16"/>
    </w:rPr>
  </w:style>
  <w:style w:type="paragraph" w:styleId="CommentText">
    <w:name w:val="annotation text"/>
    <w:basedOn w:val="Normal"/>
    <w:link w:val="CommentTextChar"/>
    <w:uiPriority w:val="99"/>
    <w:unhideWhenUsed/>
    <w:rsid w:val="00F51615"/>
    <w:pPr>
      <w:spacing w:after="120" w:line="240" w:lineRule="auto"/>
      <w:ind w:firstLine="567"/>
      <w:jc w:val="both"/>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F51615"/>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F51615"/>
    <w:pPr>
      <w:spacing w:after="0" w:line="240" w:lineRule="auto"/>
      <w:ind w:firstLine="567"/>
      <w:jc w:val="both"/>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51615"/>
    <w:rPr>
      <w:rFonts w:ascii="Tahoma" w:eastAsia="Times New Roman" w:hAnsi="Tahoma" w:cs="Times New Roman"/>
      <w:sz w:val="16"/>
      <w:szCs w:val="16"/>
      <w:lang w:val="x-none" w:eastAsia="x-none"/>
    </w:rPr>
  </w:style>
  <w:style w:type="paragraph" w:customStyle="1" w:styleId="H2">
    <w:name w:val="H2"/>
    <w:link w:val="H2Char"/>
    <w:uiPriority w:val="99"/>
    <w:rsid w:val="00F51615"/>
    <w:pPr>
      <w:keepNext/>
      <w:tabs>
        <w:tab w:val="left" w:pos="1134"/>
      </w:tabs>
      <w:spacing w:before="480" w:after="240" w:line="240" w:lineRule="auto"/>
      <w:ind w:left="1134" w:hanging="567"/>
      <w:outlineLvl w:val="1"/>
    </w:pPr>
    <w:rPr>
      <w:rFonts w:ascii="Calibri" w:eastAsia="Times New Roman" w:hAnsi="Calibri" w:cs="Times New Roman"/>
      <w:b/>
      <w:sz w:val="32"/>
      <w:szCs w:val="20"/>
    </w:rPr>
  </w:style>
  <w:style w:type="character" w:customStyle="1" w:styleId="H2Char">
    <w:name w:val="H2 Char"/>
    <w:link w:val="H2"/>
    <w:uiPriority w:val="99"/>
    <w:rsid w:val="00F51615"/>
    <w:rPr>
      <w:rFonts w:ascii="Calibri" w:eastAsia="Times New Roman" w:hAnsi="Calibri" w:cs="Times New Roman"/>
      <w:b/>
      <w:sz w:val="32"/>
      <w:szCs w:val="20"/>
    </w:rPr>
  </w:style>
  <w:style w:type="paragraph" w:customStyle="1" w:styleId="H4">
    <w:name w:val="H4"/>
    <w:uiPriority w:val="99"/>
    <w:rsid w:val="00F51615"/>
    <w:pPr>
      <w:spacing w:before="120" w:after="120" w:line="240" w:lineRule="auto"/>
      <w:ind w:left="567"/>
      <w:outlineLvl w:val="3"/>
    </w:pPr>
    <w:rPr>
      <w:rFonts w:ascii="Calibri" w:eastAsia="Times New Roman" w:hAnsi="Calibri" w:cs="Times New Roman"/>
      <w:b/>
      <w:sz w:val="28"/>
      <w:szCs w:val="20"/>
    </w:rPr>
  </w:style>
  <w:style w:type="paragraph" w:customStyle="1" w:styleId="H3">
    <w:name w:val="H3"/>
    <w:link w:val="H3Char"/>
    <w:rsid w:val="00F51615"/>
    <w:pPr>
      <w:keepNext/>
      <w:spacing w:before="480" w:after="120" w:line="240" w:lineRule="auto"/>
      <w:ind w:left="1701" w:hanging="1134"/>
      <w:outlineLvl w:val="2"/>
    </w:pPr>
    <w:rPr>
      <w:rFonts w:ascii="Calibri" w:eastAsia="Times New Roman" w:hAnsi="Calibri" w:cs="Times New Roman"/>
      <w:b/>
      <w:sz w:val="28"/>
      <w:szCs w:val="20"/>
    </w:rPr>
  </w:style>
  <w:style w:type="character" w:customStyle="1" w:styleId="H3Char">
    <w:name w:val="H3 Char"/>
    <w:link w:val="H3"/>
    <w:rsid w:val="00F51615"/>
    <w:rPr>
      <w:rFonts w:ascii="Calibri" w:eastAsia="Times New Roman" w:hAnsi="Calibri" w:cs="Times New Roman"/>
      <w:b/>
      <w:sz w:val="28"/>
      <w:szCs w:val="20"/>
    </w:rPr>
  </w:style>
  <w:style w:type="paragraph" w:customStyle="1" w:styleId="T">
    <w:name w:val="T"/>
    <w:basedOn w:val="Normal"/>
    <w:rsid w:val="00F51615"/>
    <w:pPr>
      <w:keepNext/>
      <w:spacing w:after="120" w:line="240" w:lineRule="auto"/>
      <w:ind w:left="567"/>
    </w:pPr>
    <w:rPr>
      <w:rFonts w:ascii="Calibri" w:eastAsia="Times New Roman" w:hAnsi="Calibri" w:cs="Times New Roman"/>
      <w:b/>
      <w:sz w:val="24"/>
      <w:szCs w:val="20"/>
    </w:rPr>
  </w:style>
  <w:style w:type="paragraph" w:customStyle="1" w:styleId="Z">
    <w:name w:val="Z"/>
    <w:basedOn w:val="T"/>
    <w:uiPriority w:val="99"/>
    <w:qFormat/>
    <w:rsid w:val="00F51615"/>
    <w:pPr>
      <w:ind w:right="1701"/>
    </w:pPr>
    <w:rPr>
      <w:b w:val="0"/>
      <w:sz w:val="20"/>
    </w:rPr>
  </w:style>
  <w:style w:type="paragraph" w:customStyle="1" w:styleId="tabteksts">
    <w:name w:val="tab_teksts"/>
    <w:basedOn w:val="Normal"/>
    <w:uiPriority w:val="99"/>
    <w:rsid w:val="00F51615"/>
    <w:pPr>
      <w:spacing w:after="0" w:line="240" w:lineRule="auto"/>
    </w:pPr>
    <w:rPr>
      <w:rFonts w:ascii="Times New Roman" w:eastAsia="Times New Roman" w:hAnsi="Times New Roman" w:cs="Times New Roman"/>
      <w:sz w:val="20"/>
      <w:szCs w:val="20"/>
    </w:rPr>
  </w:style>
  <w:style w:type="paragraph" w:styleId="FootnoteText">
    <w:name w:val="footnote text"/>
    <w:aliases w:val="Footnote,Fußnote,Fußnote Char Char Char"/>
    <w:basedOn w:val="Normal"/>
    <w:link w:val="FootnoteTextChar"/>
    <w:rsid w:val="00F51615"/>
    <w:pPr>
      <w:keepLines/>
      <w:widowControl w:val="0"/>
      <w:spacing w:after="0" w:line="240" w:lineRule="auto"/>
      <w:ind w:left="340" w:hanging="340"/>
    </w:pPr>
    <w:rPr>
      <w:rFonts w:ascii="Times New Roman" w:eastAsia="Times New Roman" w:hAnsi="Times New Roman" w:cs="Times New Roman"/>
      <w:snapToGrid w:val="0"/>
      <w:color w:val="000000"/>
      <w:sz w:val="20"/>
      <w:szCs w:val="20"/>
      <w:lang w:val="x-none" w:eastAsia="x-none"/>
    </w:rPr>
  </w:style>
  <w:style w:type="character" w:customStyle="1" w:styleId="FootnoteTextChar">
    <w:name w:val="Footnote Text Char"/>
    <w:aliases w:val="Footnote Char,Fußnote Char,Fußnote Char Char Char Char"/>
    <w:basedOn w:val="DefaultParagraphFont"/>
    <w:link w:val="FootnoteText"/>
    <w:rsid w:val="00F51615"/>
    <w:rPr>
      <w:rFonts w:ascii="Times New Roman" w:eastAsia="Times New Roman" w:hAnsi="Times New Roman" w:cs="Times New Roman"/>
      <w:snapToGrid w:val="0"/>
      <w:color w:val="000000"/>
      <w:sz w:val="20"/>
      <w:szCs w:val="20"/>
      <w:lang w:val="x-none" w:eastAsia="x-none"/>
    </w:rPr>
  </w:style>
  <w:style w:type="character" w:styleId="FootnoteReference">
    <w:name w:val="footnote reference"/>
    <w:aliases w:val="Footnote Reference Number,Footnote symbol,Footnote Reference Superscript,ftref"/>
    <w:rsid w:val="00F51615"/>
    <w:rPr>
      <w:rFonts w:ascii="Garamond" w:hAnsi="Garamond"/>
      <w:sz w:val="20"/>
      <w:vertAlign w:val="superscript"/>
    </w:rPr>
  </w:style>
  <w:style w:type="paragraph" w:customStyle="1" w:styleId="Zpar">
    <w:name w:val="Z_par"/>
    <w:basedOn w:val="Z"/>
    <w:rsid w:val="00F51615"/>
    <w:pPr>
      <w:spacing w:after="480"/>
      <w:ind w:left="1418" w:hanging="851"/>
    </w:pPr>
    <w:rPr>
      <w:i/>
    </w:rPr>
  </w:style>
  <w:style w:type="character" w:customStyle="1" w:styleId="ListParagraphChar">
    <w:name w:val="List Paragraph Char"/>
    <w:aliases w:val="2 Char"/>
    <w:link w:val="ListParagraph"/>
    <w:uiPriority w:val="34"/>
    <w:locked/>
    <w:rsid w:val="00F51615"/>
  </w:style>
  <w:style w:type="paragraph" w:styleId="BodyTextIndent2">
    <w:name w:val="Body Text Indent 2"/>
    <w:basedOn w:val="Normal"/>
    <w:link w:val="BodyTextIndent2Char"/>
    <w:semiHidden/>
    <w:rsid w:val="00F51615"/>
    <w:pPr>
      <w:spacing w:before="120" w:after="120" w:line="240" w:lineRule="auto"/>
      <w:ind w:firstLine="706"/>
      <w:jc w:val="both"/>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semiHidden/>
    <w:rsid w:val="00F51615"/>
    <w:rPr>
      <w:rFonts w:ascii="Times New Roman" w:eastAsia="Times New Roman" w:hAnsi="Times New Roman" w:cs="Times New Roman"/>
      <w:sz w:val="24"/>
      <w:szCs w:val="20"/>
      <w:lang w:val="x-none" w:eastAsia="x-none"/>
    </w:rPr>
  </w:style>
  <w:style w:type="paragraph" w:customStyle="1" w:styleId="Default">
    <w:name w:val="Default"/>
    <w:rsid w:val="00F5161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Indent">
    <w:name w:val="Body Text Indent"/>
    <w:basedOn w:val="Normal"/>
    <w:link w:val="BodyTextIndentChar"/>
    <w:semiHidden/>
    <w:unhideWhenUsed/>
    <w:rsid w:val="00F51615"/>
    <w:pPr>
      <w:spacing w:after="120" w:line="240" w:lineRule="auto"/>
      <w:ind w:left="283" w:firstLine="567"/>
      <w:jc w:val="both"/>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semiHidden/>
    <w:rsid w:val="00F51615"/>
    <w:rPr>
      <w:rFonts w:ascii="Times New Roman" w:eastAsia="Times New Roman" w:hAnsi="Times New Roman" w:cs="Times New Roman"/>
      <w:sz w:val="24"/>
      <w:szCs w:val="20"/>
      <w:lang w:val="x-none" w:eastAsia="x-none"/>
    </w:rPr>
  </w:style>
  <w:style w:type="paragraph" w:customStyle="1" w:styleId="ridk">
    <w:name w:val="ridk"/>
    <w:basedOn w:val="Normal"/>
    <w:rsid w:val="00F51615"/>
    <w:pPr>
      <w:spacing w:before="100" w:beforeAutospacing="1" w:after="100" w:afterAutospacing="1" w:line="240" w:lineRule="auto"/>
    </w:pPr>
    <w:rPr>
      <w:rFonts w:ascii="Arial Unicode MS" w:eastAsia="Arial Unicode MS" w:hAnsi="Arial Unicode MS" w:cs="Arial Unicode MS"/>
      <w:sz w:val="24"/>
      <w:szCs w:val="24"/>
      <w:lang w:val="en-US"/>
    </w:rPr>
  </w:style>
  <w:style w:type="table" w:styleId="TableGrid">
    <w:name w:val="Table Grid"/>
    <w:basedOn w:val="TableNormal"/>
    <w:uiPriority w:val="39"/>
    <w:rsid w:val="00F51615"/>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1"/>
    <w:basedOn w:val="Heading1"/>
    <w:rsid w:val="00F51615"/>
    <w:pPr>
      <w:keepLines w:val="0"/>
      <w:numPr>
        <w:numId w:val="0"/>
      </w:numPr>
      <w:pBdr>
        <w:bottom w:val="none" w:sz="0" w:space="0" w:color="auto"/>
      </w:pBdr>
      <w:spacing w:before="240" w:after="60" w:line="240" w:lineRule="auto"/>
      <w:ind w:firstLine="709"/>
      <w:jc w:val="both"/>
    </w:pPr>
    <w:rPr>
      <w:rFonts w:ascii="Times New Roman" w:eastAsia="Calibri" w:hAnsi="Times New Roman" w:cs="Times New Roman"/>
      <w:smallCaps w:val="0"/>
      <w:color w:val="auto"/>
      <w:kern w:val="32"/>
      <w:sz w:val="40"/>
      <w:szCs w:val="40"/>
      <w:lang w:val="x-none" w:eastAsia="x-none"/>
    </w:rPr>
  </w:style>
  <w:style w:type="character" w:customStyle="1" w:styleId="spelle">
    <w:name w:val="spelle"/>
    <w:basedOn w:val="DefaultParagraphFont"/>
    <w:rsid w:val="00F51615"/>
  </w:style>
  <w:style w:type="paragraph" w:customStyle="1" w:styleId="ParagraphNumbering">
    <w:name w:val="Paragraph Numbering"/>
    <w:basedOn w:val="Normal"/>
    <w:uiPriority w:val="1"/>
    <w:qFormat/>
    <w:rsid w:val="00F51615"/>
    <w:pPr>
      <w:numPr>
        <w:numId w:val="3"/>
      </w:numPr>
      <w:spacing w:after="240" w:line="264" w:lineRule="auto"/>
    </w:pPr>
    <w:rPr>
      <w:rFonts w:ascii="Times New Roman" w:eastAsia="Calibri"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F51615"/>
    <w:rPr>
      <w:b/>
      <w:bCs/>
    </w:rPr>
  </w:style>
  <w:style w:type="character" w:customStyle="1" w:styleId="CommentSubjectChar">
    <w:name w:val="Comment Subject Char"/>
    <w:basedOn w:val="CommentTextChar"/>
    <w:link w:val="CommentSubject"/>
    <w:uiPriority w:val="99"/>
    <w:semiHidden/>
    <w:rsid w:val="00F51615"/>
    <w:rPr>
      <w:rFonts w:ascii="Times New Roman" w:eastAsia="Times New Roman" w:hAnsi="Times New Roman" w:cs="Times New Roman"/>
      <w:b/>
      <w:bCs/>
      <w:sz w:val="20"/>
      <w:szCs w:val="20"/>
      <w:lang w:val="x-none" w:eastAsia="x-none"/>
    </w:rPr>
  </w:style>
  <w:style w:type="paragraph" w:customStyle="1" w:styleId="otrais">
    <w:name w:val="otrais"/>
    <w:basedOn w:val="H2"/>
    <w:link w:val="otraisChar"/>
    <w:qFormat/>
    <w:rsid w:val="00F51615"/>
    <w:pPr>
      <w:tabs>
        <w:tab w:val="clear" w:pos="1134"/>
        <w:tab w:val="left" w:pos="567"/>
      </w:tabs>
      <w:ind w:left="567"/>
    </w:pPr>
    <w:rPr>
      <w:rFonts w:ascii="Times New Roman" w:hAnsi="Times New Roman"/>
    </w:rPr>
  </w:style>
  <w:style w:type="character" w:customStyle="1" w:styleId="otraisChar">
    <w:name w:val="otrais Char"/>
    <w:basedOn w:val="H2Char"/>
    <w:link w:val="otrais"/>
    <w:rsid w:val="00F51615"/>
    <w:rPr>
      <w:rFonts w:ascii="Times New Roman" w:eastAsia="Times New Roman" w:hAnsi="Times New Roman" w:cs="Times New Roman"/>
      <w:b/>
      <w:sz w:val="32"/>
      <w:szCs w:val="20"/>
    </w:rPr>
  </w:style>
  <w:style w:type="paragraph" w:customStyle="1" w:styleId="tresais">
    <w:name w:val="tresais"/>
    <w:basedOn w:val="H3"/>
    <w:link w:val="tresaisChar"/>
    <w:qFormat/>
    <w:rsid w:val="00F51615"/>
    <w:pPr>
      <w:ind w:left="0" w:firstLine="0"/>
    </w:pPr>
    <w:rPr>
      <w:rFonts w:ascii="Times New Roman" w:hAnsi="Times New Roman"/>
    </w:rPr>
  </w:style>
  <w:style w:type="character" w:customStyle="1" w:styleId="tresaisChar">
    <w:name w:val="tresais Char"/>
    <w:basedOn w:val="H3Char"/>
    <w:link w:val="tresais"/>
    <w:rsid w:val="00F51615"/>
    <w:rPr>
      <w:rFonts w:ascii="Times New Roman" w:eastAsia="Times New Roman" w:hAnsi="Times New Roman" w:cs="Times New Roman"/>
      <w:b/>
      <w:sz w:val="28"/>
      <w:szCs w:val="20"/>
    </w:rPr>
  </w:style>
  <w:style w:type="paragraph" w:styleId="TOC1">
    <w:name w:val="toc 1"/>
    <w:basedOn w:val="Normal"/>
    <w:next w:val="Normal"/>
    <w:autoRedefine/>
    <w:uiPriority w:val="39"/>
    <w:unhideWhenUsed/>
    <w:rsid w:val="00551458"/>
    <w:pPr>
      <w:tabs>
        <w:tab w:val="left" w:pos="284"/>
        <w:tab w:val="right" w:leader="dot" w:pos="9072"/>
      </w:tabs>
      <w:spacing w:after="0" w:line="240" w:lineRule="auto"/>
      <w:ind w:left="284" w:right="-1" w:hanging="284"/>
      <w:jc w:val="both"/>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F51615"/>
    <w:pPr>
      <w:tabs>
        <w:tab w:val="right" w:leader="dot" w:pos="9072"/>
      </w:tabs>
      <w:spacing w:after="0" w:line="240" w:lineRule="auto"/>
      <w:ind w:left="238" w:firstLine="46"/>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F51615"/>
    <w:pPr>
      <w:tabs>
        <w:tab w:val="right" w:leader="dot" w:pos="9061"/>
      </w:tabs>
      <w:spacing w:after="0" w:line="240" w:lineRule="auto"/>
      <w:ind w:left="482" w:firstLine="567"/>
      <w:jc w:val="both"/>
    </w:pPr>
    <w:rPr>
      <w:rFonts w:ascii="Times New Roman" w:eastAsia="Times New Roman" w:hAnsi="Times New Roman" w:cs="Times New Roman"/>
      <w:sz w:val="24"/>
      <w:szCs w:val="20"/>
    </w:rPr>
  </w:style>
  <w:style w:type="character" w:styleId="Hyperlink">
    <w:name w:val="Hyperlink"/>
    <w:uiPriority w:val="99"/>
    <w:unhideWhenUsed/>
    <w:rsid w:val="00F51615"/>
    <w:rPr>
      <w:color w:val="0000FF"/>
      <w:u w:val="single"/>
    </w:rPr>
  </w:style>
  <w:style w:type="paragraph" w:customStyle="1" w:styleId="naisf">
    <w:name w:val="naisf"/>
    <w:basedOn w:val="Normal"/>
    <w:rsid w:val="00F516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ksts">
    <w:name w:val="teksts"/>
    <w:rsid w:val="00F51615"/>
    <w:pPr>
      <w:spacing w:after="120" w:line="240" w:lineRule="auto"/>
      <w:jc w:val="both"/>
    </w:pPr>
    <w:rPr>
      <w:rFonts w:ascii="Garamond" w:eastAsia="Times New Roman" w:hAnsi="Garamond" w:cs="Times New Roman"/>
      <w:sz w:val="24"/>
      <w:szCs w:val="20"/>
    </w:rPr>
  </w:style>
  <w:style w:type="paragraph" w:customStyle="1" w:styleId="EE-paragr">
    <w:name w:val="EE-paragr"/>
    <w:basedOn w:val="Normal"/>
    <w:autoRedefine/>
    <w:uiPriority w:val="99"/>
    <w:rsid w:val="00F51615"/>
    <w:pPr>
      <w:spacing w:before="120" w:after="120" w:line="240" w:lineRule="auto"/>
      <w:jc w:val="both"/>
    </w:pPr>
    <w:rPr>
      <w:rFonts w:ascii="Times New Roman" w:eastAsia="Times New Roman" w:hAnsi="Times New Roman" w:cs="Times New Roman"/>
      <w:iCs/>
      <w:sz w:val="24"/>
      <w:szCs w:val="24"/>
      <w:lang w:eastAsia="lv-LV" w:bidi="lo-LA"/>
    </w:rPr>
  </w:style>
  <w:style w:type="paragraph" w:customStyle="1" w:styleId="tabtekst">
    <w:name w:val="tab_tekst"/>
    <w:basedOn w:val="Normal"/>
    <w:rsid w:val="00F51615"/>
    <w:pPr>
      <w:spacing w:after="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F516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1pt">
    <w:name w:val="Normal + 11 pt"/>
    <w:aliases w:val="Bold,Justified,Line spacing:  1.5 lines"/>
    <w:basedOn w:val="Normal"/>
    <w:rsid w:val="00F51615"/>
    <w:pPr>
      <w:widowControl w:val="0"/>
      <w:adjustRightInd w:val="0"/>
      <w:spacing w:after="0" w:line="360" w:lineRule="auto"/>
      <w:jc w:val="both"/>
      <w:textAlignment w:val="baseline"/>
    </w:pPr>
    <w:rPr>
      <w:rFonts w:ascii="Times New Roman" w:eastAsia="Times New Roman" w:hAnsi="Times New Roman" w:cs="Times New Roman"/>
      <w:b/>
      <w:lang w:val="en-GB" w:eastAsia="lv-LV"/>
    </w:rPr>
  </w:style>
  <w:style w:type="paragraph" w:styleId="BodyText">
    <w:name w:val="Body Text"/>
    <w:basedOn w:val="Normal"/>
    <w:link w:val="BodyTextChar"/>
    <w:uiPriority w:val="99"/>
    <w:semiHidden/>
    <w:unhideWhenUsed/>
    <w:rsid w:val="00F51615"/>
    <w:pPr>
      <w:spacing w:after="120" w:line="240" w:lineRule="auto"/>
      <w:ind w:firstLine="567"/>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uiPriority w:val="99"/>
    <w:semiHidden/>
    <w:rsid w:val="00F51615"/>
    <w:rPr>
      <w:rFonts w:ascii="Times New Roman" w:eastAsia="Times New Roman" w:hAnsi="Times New Roman" w:cs="Times New Roman"/>
      <w:sz w:val="24"/>
      <w:szCs w:val="20"/>
      <w:lang w:val="x-none"/>
    </w:rPr>
  </w:style>
  <w:style w:type="paragraph" w:styleId="BodyText3">
    <w:name w:val="Body Text 3"/>
    <w:basedOn w:val="Normal"/>
    <w:link w:val="BodyText3Char"/>
    <w:uiPriority w:val="99"/>
    <w:semiHidden/>
    <w:unhideWhenUsed/>
    <w:rsid w:val="00F51615"/>
    <w:pPr>
      <w:spacing w:after="120" w:line="240" w:lineRule="auto"/>
      <w:ind w:firstLine="567"/>
      <w:jc w:val="both"/>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uiPriority w:val="99"/>
    <w:semiHidden/>
    <w:rsid w:val="00F51615"/>
    <w:rPr>
      <w:rFonts w:ascii="Times New Roman" w:eastAsia="Times New Roman" w:hAnsi="Times New Roman" w:cs="Times New Roman"/>
      <w:sz w:val="16"/>
      <w:szCs w:val="16"/>
      <w:lang w:val="x-none"/>
    </w:rPr>
  </w:style>
  <w:style w:type="paragraph" w:styleId="TOC8">
    <w:name w:val="toc 8"/>
    <w:basedOn w:val="Normal"/>
    <w:next w:val="Normal"/>
    <w:autoRedefine/>
    <w:uiPriority w:val="39"/>
    <w:semiHidden/>
    <w:unhideWhenUsed/>
    <w:rsid w:val="00F51615"/>
    <w:pPr>
      <w:spacing w:after="120" w:line="240" w:lineRule="auto"/>
      <w:ind w:left="1680" w:firstLine="567"/>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F51615"/>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F51615"/>
    <w:rPr>
      <w:rFonts w:ascii="Consolas" w:eastAsia="Calibri" w:hAnsi="Consolas" w:cs="Times New Roman"/>
      <w:sz w:val="21"/>
      <w:szCs w:val="21"/>
      <w:lang w:val="x-none" w:eastAsia="x-none"/>
    </w:rPr>
  </w:style>
  <w:style w:type="paragraph" w:customStyle="1" w:styleId="Text1">
    <w:name w:val="Text 1"/>
    <w:basedOn w:val="Normal"/>
    <w:uiPriority w:val="99"/>
    <w:rsid w:val="00F51615"/>
    <w:pPr>
      <w:spacing w:before="120" w:after="120" w:line="240" w:lineRule="auto"/>
      <w:ind w:left="850"/>
      <w:jc w:val="both"/>
    </w:pPr>
    <w:rPr>
      <w:rFonts w:ascii="Times New Roman" w:eastAsia="Times New Roman" w:hAnsi="Times New Roman" w:cs="Times New Roman"/>
      <w:sz w:val="24"/>
      <w:szCs w:val="20"/>
      <w:lang w:val="en-GB" w:eastAsia="de-DE"/>
    </w:rPr>
  </w:style>
  <w:style w:type="character" w:styleId="FollowedHyperlink">
    <w:name w:val="FollowedHyperlink"/>
    <w:uiPriority w:val="99"/>
    <w:semiHidden/>
    <w:unhideWhenUsed/>
    <w:rsid w:val="00F51615"/>
    <w:rPr>
      <w:color w:val="800080"/>
      <w:u w:val="single"/>
    </w:rPr>
  </w:style>
  <w:style w:type="paragraph" w:styleId="Revision">
    <w:name w:val="Revision"/>
    <w:hidden/>
    <w:uiPriority w:val="99"/>
    <w:semiHidden/>
    <w:rsid w:val="00F51615"/>
    <w:pPr>
      <w:spacing w:after="0" w:line="240" w:lineRule="auto"/>
    </w:pPr>
    <w:rPr>
      <w:rFonts w:ascii="Times New Roman" w:eastAsia="Times New Roman" w:hAnsi="Times New Roman" w:cs="Times New Roman"/>
      <w:sz w:val="24"/>
      <w:szCs w:val="20"/>
    </w:rPr>
  </w:style>
  <w:style w:type="paragraph" w:customStyle="1" w:styleId="tv2131">
    <w:name w:val="tv2131"/>
    <w:basedOn w:val="Normal"/>
    <w:rsid w:val="00F51615"/>
    <w:pPr>
      <w:spacing w:before="240" w:after="0" w:line="360" w:lineRule="auto"/>
      <w:ind w:firstLine="300"/>
      <w:jc w:val="both"/>
    </w:pPr>
    <w:rPr>
      <w:rFonts w:ascii="Verdana" w:eastAsia="Times New Roman" w:hAnsi="Verdana" w:cs="Times New Roman"/>
      <w:sz w:val="18"/>
      <w:szCs w:val="18"/>
      <w:lang w:eastAsia="lv-LV"/>
    </w:rPr>
  </w:style>
  <w:style w:type="paragraph" w:customStyle="1" w:styleId="CM1">
    <w:name w:val="CM1"/>
    <w:basedOn w:val="Default"/>
    <w:next w:val="Default"/>
    <w:uiPriority w:val="99"/>
    <w:rsid w:val="00F51615"/>
    <w:rPr>
      <w:rFonts w:ascii="EUAlbertina" w:eastAsia="Calibri" w:hAnsi="EUAlbertina"/>
      <w:color w:val="auto"/>
      <w:lang w:val="en-GB" w:eastAsia="en-GB"/>
    </w:rPr>
  </w:style>
  <w:style w:type="character" w:customStyle="1" w:styleId="st1">
    <w:name w:val="st1"/>
    <w:basedOn w:val="DefaultParagraphFont"/>
    <w:rsid w:val="00F51615"/>
  </w:style>
  <w:style w:type="paragraph" w:customStyle="1" w:styleId="mt-translation1">
    <w:name w:val="mt-translation1"/>
    <w:basedOn w:val="Normal"/>
    <w:rsid w:val="00F51615"/>
    <w:pPr>
      <w:spacing w:after="0" w:line="240" w:lineRule="auto"/>
    </w:pPr>
    <w:rPr>
      <w:rFonts w:ascii="Segoe UI" w:eastAsia="Times New Roman" w:hAnsi="Segoe UI" w:cs="Segoe UI"/>
      <w:lang w:eastAsia="lv-LV"/>
    </w:rPr>
  </w:style>
  <w:style w:type="table" w:customStyle="1" w:styleId="ListTable3Accent1">
    <w:name w:val="List Table 3 Accent 1"/>
    <w:basedOn w:val="TableNormal"/>
    <w:uiPriority w:val="48"/>
    <w:rsid w:val="00400D0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2Accent1">
    <w:name w:val="Grid Table 2 Accent 1"/>
    <w:basedOn w:val="TableNormal"/>
    <w:uiPriority w:val="47"/>
    <w:rsid w:val="00400D0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
    <w:name w:val="Grid Table 1 Light Accent 1"/>
    <w:basedOn w:val="TableNormal"/>
    <w:uiPriority w:val="46"/>
    <w:rsid w:val="00400D0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00D0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400D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400D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0D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5775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0144E7"/>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609E"/>
  </w:style>
  <w:style w:type="table" w:customStyle="1" w:styleId="TableGrid2">
    <w:name w:val="Table Grid2"/>
    <w:basedOn w:val="TableNormal"/>
    <w:next w:val="TableGrid"/>
    <w:uiPriority w:val="39"/>
    <w:rsid w:val="0009609E"/>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67FC"/>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TableNormal"/>
    <w:uiPriority w:val="51"/>
    <w:rsid w:val="00EE7F4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
    <w:name w:val="Grid Table 6 Colorful Accent 5"/>
    <w:basedOn w:val="TableNormal"/>
    <w:uiPriority w:val="51"/>
    <w:rsid w:val="00EE7F4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D811E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ps">
    <w:name w:val="hps"/>
    <w:basedOn w:val="DefaultParagraphFont"/>
    <w:rsid w:val="00DB2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CC"/>
  </w:style>
  <w:style w:type="paragraph" w:styleId="Heading1">
    <w:name w:val="heading 1"/>
    <w:basedOn w:val="Normal"/>
    <w:next w:val="Normal"/>
    <w:link w:val="Heading1Char"/>
    <w:uiPriority w:val="9"/>
    <w:qFormat/>
    <w:rsid w:val="003F78CC"/>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F78CC"/>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F78CC"/>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F78CC"/>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F78CC"/>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F78CC"/>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F78C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78C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8C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F78C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F78CC"/>
    <w:rPr>
      <w:color w:val="000000" w:themeColor="text1"/>
      <w:shd w:val="clear" w:color="auto" w:fill="F2F2F2" w:themeFill="background1" w:themeFillShade="F2"/>
    </w:rPr>
  </w:style>
  <w:style w:type="character" w:customStyle="1" w:styleId="Heading1Char">
    <w:name w:val="Heading 1 Char"/>
    <w:basedOn w:val="DefaultParagraphFont"/>
    <w:link w:val="Heading1"/>
    <w:uiPriority w:val="9"/>
    <w:rsid w:val="003F78C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F78C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F78C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F78C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F78C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F78C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F78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78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8C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F78C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F78C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F78C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F78C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F78CC"/>
    <w:rPr>
      <w:color w:val="5A5A5A" w:themeColor="text1" w:themeTint="A5"/>
      <w:spacing w:val="10"/>
    </w:rPr>
  </w:style>
  <w:style w:type="character" w:styleId="Strong">
    <w:name w:val="Strong"/>
    <w:basedOn w:val="DefaultParagraphFont"/>
    <w:uiPriority w:val="22"/>
    <w:qFormat/>
    <w:rsid w:val="003F78CC"/>
    <w:rPr>
      <w:b/>
      <w:bCs/>
      <w:color w:val="000000" w:themeColor="text1"/>
    </w:rPr>
  </w:style>
  <w:style w:type="character" w:styleId="Emphasis">
    <w:name w:val="Emphasis"/>
    <w:basedOn w:val="DefaultParagraphFont"/>
    <w:uiPriority w:val="20"/>
    <w:qFormat/>
    <w:rsid w:val="003F78CC"/>
    <w:rPr>
      <w:i/>
      <w:iCs/>
      <w:color w:val="auto"/>
    </w:rPr>
  </w:style>
  <w:style w:type="paragraph" w:styleId="NoSpacing">
    <w:name w:val="No Spacing"/>
    <w:link w:val="NoSpacingChar"/>
    <w:uiPriority w:val="1"/>
    <w:qFormat/>
    <w:rsid w:val="003F78CC"/>
    <w:pPr>
      <w:spacing w:after="0" w:line="240" w:lineRule="auto"/>
    </w:pPr>
  </w:style>
  <w:style w:type="paragraph" w:styleId="Quote">
    <w:name w:val="Quote"/>
    <w:basedOn w:val="Normal"/>
    <w:next w:val="Normal"/>
    <w:link w:val="QuoteChar"/>
    <w:uiPriority w:val="29"/>
    <w:qFormat/>
    <w:rsid w:val="003F78CC"/>
    <w:pPr>
      <w:spacing w:before="160"/>
      <w:ind w:left="720" w:right="720"/>
    </w:pPr>
    <w:rPr>
      <w:i/>
      <w:iCs/>
      <w:color w:val="000000" w:themeColor="text1"/>
    </w:rPr>
  </w:style>
  <w:style w:type="character" w:customStyle="1" w:styleId="QuoteChar">
    <w:name w:val="Quote Char"/>
    <w:basedOn w:val="DefaultParagraphFont"/>
    <w:link w:val="Quote"/>
    <w:uiPriority w:val="29"/>
    <w:rsid w:val="003F78CC"/>
    <w:rPr>
      <w:i/>
      <w:iCs/>
      <w:color w:val="000000" w:themeColor="text1"/>
    </w:rPr>
  </w:style>
  <w:style w:type="character" w:styleId="SubtleEmphasis">
    <w:name w:val="Subtle Emphasis"/>
    <w:basedOn w:val="DefaultParagraphFont"/>
    <w:uiPriority w:val="19"/>
    <w:qFormat/>
    <w:rsid w:val="003F78CC"/>
    <w:rPr>
      <w:i/>
      <w:iCs/>
      <w:color w:val="404040" w:themeColor="text1" w:themeTint="BF"/>
    </w:rPr>
  </w:style>
  <w:style w:type="character" w:styleId="IntenseEmphasis">
    <w:name w:val="Intense Emphasis"/>
    <w:basedOn w:val="DefaultParagraphFont"/>
    <w:uiPriority w:val="21"/>
    <w:qFormat/>
    <w:rsid w:val="003F78CC"/>
    <w:rPr>
      <w:b/>
      <w:bCs/>
      <w:i/>
      <w:iCs/>
      <w:caps/>
    </w:rPr>
  </w:style>
  <w:style w:type="character" w:styleId="SubtleReference">
    <w:name w:val="Subtle Reference"/>
    <w:basedOn w:val="DefaultParagraphFont"/>
    <w:uiPriority w:val="31"/>
    <w:qFormat/>
    <w:rsid w:val="003F78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78CC"/>
    <w:rPr>
      <w:b/>
      <w:bCs/>
      <w:smallCaps/>
      <w:u w:val="single"/>
    </w:rPr>
  </w:style>
  <w:style w:type="character" w:styleId="BookTitle">
    <w:name w:val="Book Title"/>
    <w:basedOn w:val="DefaultParagraphFont"/>
    <w:uiPriority w:val="33"/>
    <w:qFormat/>
    <w:rsid w:val="003F78CC"/>
    <w:rPr>
      <w:b w:val="0"/>
      <w:bCs w:val="0"/>
      <w:smallCaps/>
      <w:spacing w:val="5"/>
    </w:rPr>
  </w:style>
  <w:style w:type="paragraph" w:styleId="TOCHeading">
    <w:name w:val="TOC Heading"/>
    <w:basedOn w:val="Heading1"/>
    <w:next w:val="Normal"/>
    <w:uiPriority w:val="39"/>
    <w:unhideWhenUsed/>
    <w:qFormat/>
    <w:rsid w:val="003F78CC"/>
    <w:pPr>
      <w:outlineLvl w:val="9"/>
    </w:pPr>
  </w:style>
  <w:style w:type="character" w:customStyle="1" w:styleId="NoSpacingChar">
    <w:name w:val="No Spacing Char"/>
    <w:basedOn w:val="DefaultParagraphFont"/>
    <w:link w:val="NoSpacing"/>
    <w:uiPriority w:val="1"/>
    <w:rsid w:val="00044011"/>
  </w:style>
  <w:style w:type="paragraph" w:styleId="Header">
    <w:name w:val="header"/>
    <w:basedOn w:val="Normal"/>
    <w:link w:val="HeaderChar"/>
    <w:uiPriority w:val="99"/>
    <w:unhideWhenUsed/>
    <w:rsid w:val="006237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757"/>
  </w:style>
  <w:style w:type="paragraph" w:styleId="Footer">
    <w:name w:val="footer"/>
    <w:basedOn w:val="Normal"/>
    <w:link w:val="FooterChar"/>
    <w:uiPriority w:val="99"/>
    <w:unhideWhenUsed/>
    <w:rsid w:val="006237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757"/>
  </w:style>
  <w:style w:type="paragraph" w:styleId="ListParagraph">
    <w:name w:val="List Paragraph"/>
    <w:aliases w:val="2"/>
    <w:basedOn w:val="Normal"/>
    <w:link w:val="ListParagraphChar"/>
    <w:uiPriority w:val="34"/>
    <w:qFormat/>
    <w:rsid w:val="00A156DB"/>
    <w:pPr>
      <w:ind w:left="720"/>
      <w:contextualSpacing/>
    </w:pPr>
  </w:style>
  <w:style w:type="paragraph" w:customStyle="1" w:styleId="PIRMAIS">
    <w:name w:val="PIRMAIS"/>
    <w:basedOn w:val="Normal"/>
    <w:link w:val="PIRMAISChar"/>
    <w:qFormat/>
    <w:rsid w:val="003F78CC"/>
    <w:pPr>
      <w:keepNext/>
      <w:keepLines/>
      <w:pageBreakBefore/>
      <w:pBdr>
        <w:bottom w:val="thickThinLargeGap" w:sz="24" w:space="1" w:color="17365D"/>
      </w:pBdr>
      <w:tabs>
        <w:tab w:val="left" w:pos="567"/>
      </w:tabs>
      <w:spacing w:after="120" w:line="240" w:lineRule="auto"/>
      <w:ind w:left="567" w:hanging="567"/>
      <w:outlineLvl w:val="0"/>
    </w:pPr>
    <w:rPr>
      <w:rFonts w:ascii="Times New Roman" w:eastAsia="Times New Roman" w:hAnsi="Times New Roman" w:cs="Times New Roman"/>
      <w:b/>
      <w:sz w:val="36"/>
      <w:szCs w:val="20"/>
    </w:rPr>
  </w:style>
  <w:style w:type="character" w:customStyle="1" w:styleId="PIRMAISChar">
    <w:name w:val="PIRMAIS Char"/>
    <w:basedOn w:val="DefaultParagraphFont"/>
    <w:link w:val="PIRMAIS"/>
    <w:rsid w:val="003F78CC"/>
    <w:rPr>
      <w:rFonts w:ascii="Times New Roman" w:eastAsia="Times New Roman" w:hAnsi="Times New Roman" w:cs="Times New Roman"/>
      <w:b/>
      <w:sz w:val="36"/>
      <w:szCs w:val="20"/>
    </w:rPr>
  </w:style>
  <w:style w:type="character" w:styleId="PageNumber">
    <w:name w:val="page number"/>
    <w:basedOn w:val="DefaultParagraphFont"/>
    <w:rsid w:val="00F51615"/>
  </w:style>
  <w:style w:type="character" w:customStyle="1" w:styleId="HeaderChar1">
    <w:name w:val="Header Char1"/>
    <w:uiPriority w:val="99"/>
    <w:semiHidden/>
    <w:rsid w:val="00F51615"/>
    <w:rPr>
      <w:rFonts w:eastAsia="Times New Roman" w:cs="Times New Roman"/>
      <w:sz w:val="24"/>
      <w:szCs w:val="20"/>
    </w:rPr>
  </w:style>
  <w:style w:type="paragraph" w:customStyle="1" w:styleId="H1">
    <w:name w:val="H1"/>
    <w:link w:val="H1Char"/>
    <w:rsid w:val="00F51615"/>
    <w:pPr>
      <w:keepNext/>
      <w:keepLines/>
      <w:pageBreakBefore/>
      <w:pBdr>
        <w:bottom w:val="thickThinLargeGap" w:sz="24" w:space="1" w:color="17365D"/>
      </w:pBdr>
      <w:tabs>
        <w:tab w:val="left" w:pos="1134"/>
      </w:tabs>
      <w:spacing w:after="120" w:line="240" w:lineRule="auto"/>
      <w:ind w:left="1134" w:hanging="567"/>
      <w:outlineLvl w:val="0"/>
    </w:pPr>
    <w:rPr>
      <w:rFonts w:ascii="Times New Roman" w:eastAsia="Times New Roman" w:hAnsi="Times New Roman" w:cs="Times New Roman"/>
      <w:b/>
      <w:sz w:val="36"/>
      <w:szCs w:val="20"/>
    </w:rPr>
  </w:style>
  <w:style w:type="character" w:customStyle="1" w:styleId="H1Char">
    <w:name w:val="H1 Char"/>
    <w:link w:val="H1"/>
    <w:rsid w:val="00F51615"/>
    <w:rPr>
      <w:rFonts w:ascii="Times New Roman" w:eastAsia="Times New Roman" w:hAnsi="Times New Roman" w:cs="Times New Roman"/>
      <w:b/>
      <w:sz w:val="36"/>
      <w:szCs w:val="20"/>
    </w:rPr>
  </w:style>
  <w:style w:type="character" w:styleId="CommentReference">
    <w:name w:val="annotation reference"/>
    <w:uiPriority w:val="99"/>
    <w:semiHidden/>
    <w:unhideWhenUsed/>
    <w:rsid w:val="00F51615"/>
    <w:rPr>
      <w:sz w:val="16"/>
      <w:szCs w:val="16"/>
    </w:rPr>
  </w:style>
  <w:style w:type="paragraph" w:styleId="CommentText">
    <w:name w:val="annotation text"/>
    <w:basedOn w:val="Normal"/>
    <w:link w:val="CommentTextChar"/>
    <w:uiPriority w:val="99"/>
    <w:unhideWhenUsed/>
    <w:rsid w:val="00F51615"/>
    <w:pPr>
      <w:spacing w:after="120" w:line="240" w:lineRule="auto"/>
      <w:ind w:firstLine="567"/>
      <w:jc w:val="both"/>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F51615"/>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F51615"/>
    <w:pPr>
      <w:spacing w:after="0" w:line="240" w:lineRule="auto"/>
      <w:ind w:firstLine="567"/>
      <w:jc w:val="both"/>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51615"/>
    <w:rPr>
      <w:rFonts w:ascii="Tahoma" w:eastAsia="Times New Roman" w:hAnsi="Tahoma" w:cs="Times New Roman"/>
      <w:sz w:val="16"/>
      <w:szCs w:val="16"/>
      <w:lang w:val="x-none" w:eastAsia="x-none"/>
    </w:rPr>
  </w:style>
  <w:style w:type="paragraph" w:customStyle="1" w:styleId="H2">
    <w:name w:val="H2"/>
    <w:link w:val="H2Char"/>
    <w:uiPriority w:val="99"/>
    <w:rsid w:val="00F51615"/>
    <w:pPr>
      <w:keepNext/>
      <w:tabs>
        <w:tab w:val="left" w:pos="1134"/>
      </w:tabs>
      <w:spacing w:before="480" w:after="240" w:line="240" w:lineRule="auto"/>
      <w:ind w:left="1134" w:hanging="567"/>
      <w:outlineLvl w:val="1"/>
    </w:pPr>
    <w:rPr>
      <w:rFonts w:ascii="Calibri" w:eastAsia="Times New Roman" w:hAnsi="Calibri" w:cs="Times New Roman"/>
      <w:b/>
      <w:sz w:val="32"/>
      <w:szCs w:val="20"/>
    </w:rPr>
  </w:style>
  <w:style w:type="character" w:customStyle="1" w:styleId="H2Char">
    <w:name w:val="H2 Char"/>
    <w:link w:val="H2"/>
    <w:uiPriority w:val="99"/>
    <w:rsid w:val="00F51615"/>
    <w:rPr>
      <w:rFonts w:ascii="Calibri" w:eastAsia="Times New Roman" w:hAnsi="Calibri" w:cs="Times New Roman"/>
      <w:b/>
      <w:sz w:val="32"/>
      <w:szCs w:val="20"/>
    </w:rPr>
  </w:style>
  <w:style w:type="paragraph" w:customStyle="1" w:styleId="H4">
    <w:name w:val="H4"/>
    <w:uiPriority w:val="99"/>
    <w:rsid w:val="00F51615"/>
    <w:pPr>
      <w:spacing w:before="120" w:after="120" w:line="240" w:lineRule="auto"/>
      <w:ind w:left="567"/>
      <w:outlineLvl w:val="3"/>
    </w:pPr>
    <w:rPr>
      <w:rFonts w:ascii="Calibri" w:eastAsia="Times New Roman" w:hAnsi="Calibri" w:cs="Times New Roman"/>
      <w:b/>
      <w:sz w:val="28"/>
      <w:szCs w:val="20"/>
    </w:rPr>
  </w:style>
  <w:style w:type="paragraph" w:customStyle="1" w:styleId="H3">
    <w:name w:val="H3"/>
    <w:link w:val="H3Char"/>
    <w:rsid w:val="00F51615"/>
    <w:pPr>
      <w:keepNext/>
      <w:spacing w:before="480" w:after="120" w:line="240" w:lineRule="auto"/>
      <w:ind w:left="1701" w:hanging="1134"/>
      <w:outlineLvl w:val="2"/>
    </w:pPr>
    <w:rPr>
      <w:rFonts w:ascii="Calibri" w:eastAsia="Times New Roman" w:hAnsi="Calibri" w:cs="Times New Roman"/>
      <w:b/>
      <w:sz w:val="28"/>
      <w:szCs w:val="20"/>
    </w:rPr>
  </w:style>
  <w:style w:type="character" w:customStyle="1" w:styleId="H3Char">
    <w:name w:val="H3 Char"/>
    <w:link w:val="H3"/>
    <w:rsid w:val="00F51615"/>
    <w:rPr>
      <w:rFonts w:ascii="Calibri" w:eastAsia="Times New Roman" w:hAnsi="Calibri" w:cs="Times New Roman"/>
      <w:b/>
      <w:sz w:val="28"/>
      <w:szCs w:val="20"/>
    </w:rPr>
  </w:style>
  <w:style w:type="paragraph" w:customStyle="1" w:styleId="T">
    <w:name w:val="T"/>
    <w:basedOn w:val="Normal"/>
    <w:rsid w:val="00F51615"/>
    <w:pPr>
      <w:keepNext/>
      <w:spacing w:after="120" w:line="240" w:lineRule="auto"/>
      <w:ind w:left="567"/>
    </w:pPr>
    <w:rPr>
      <w:rFonts w:ascii="Calibri" w:eastAsia="Times New Roman" w:hAnsi="Calibri" w:cs="Times New Roman"/>
      <w:b/>
      <w:sz w:val="24"/>
      <w:szCs w:val="20"/>
    </w:rPr>
  </w:style>
  <w:style w:type="paragraph" w:customStyle="1" w:styleId="Z">
    <w:name w:val="Z"/>
    <w:basedOn w:val="T"/>
    <w:uiPriority w:val="99"/>
    <w:qFormat/>
    <w:rsid w:val="00F51615"/>
    <w:pPr>
      <w:ind w:right="1701"/>
    </w:pPr>
    <w:rPr>
      <w:b w:val="0"/>
      <w:sz w:val="20"/>
    </w:rPr>
  </w:style>
  <w:style w:type="paragraph" w:customStyle="1" w:styleId="tabteksts">
    <w:name w:val="tab_teksts"/>
    <w:basedOn w:val="Normal"/>
    <w:uiPriority w:val="99"/>
    <w:rsid w:val="00F51615"/>
    <w:pPr>
      <w:spacing w:after="0" w:line="240" w:lineRule="auto"/>
    </w:pPr>
    <w:rPr>
      <w:rFonts w:ascii="Times New Roman" w:eastAsia="Times New Roman" w:hAnsi="Times New Roman" w:cs="Times New Roman"/>
      <w:sz w:val="20"/>
      <w:szCs w:val="20"/>
    </w:rPr>
  </w:style>
  <w:style w:type="paragraph" w:styleId="FootnoteText">
    <w:name w:val="footnote text"/>
    <w:aliases w:val="Footnote,Fußnote,Fußnote Char Char Char"/>
    <w:basedOn w:val="Normal"/>
    <w:link w:val="FootnoteTextChar"/>
    <w:rsid w:val="00F51615"/>
    <w:pPr>
      <w:keepLines/>
      <w:widowControl w:val="0"/>
      <w:spacing w:after="0" w:line="240" w:lineRule="auto"/>
      <w:ind w:left="340" w:hanging="340"/>
    </w:pPr>
    <w:rPr>
      <w:rFonts w:ascii="Times New Roman" w:eastAsia="Times New Roman" w:hAnsi="Times New Roman" w:cs="Times New Roman"/>
      <w:snapToGrid w:val="0"/>
      <w:color w:val="000000"/>
      <w:sz w:val="20"/>
      <w:szCs w:val="20"/>
      <w:lang w:val="x-none" w:eastAsia="x-none"/>
    </w:rPr>
  </w:style>
  <w:style w:type="character" w:customStyle="1" w:styleId="FootnoteTextChar">
    <w:name w:val="Footnote Text Char"/>
    <w:aliases w:val="Footnote Char,Fußnote Char,Fußnote Char Char Char Char"/>
    <w:basedOn w:val="DefaultParagraphFont"/>
    <w:link w:val="FootnoteText"/>
    <w:rsid w:val="00F51615"/>
    <w:rPr>
      <w:rFonts w:ascii="Times New Roman" w:eastAsia="Times New Roman" w:hAnsi="Times New Roman" w:cs="Times New Roman"/>
      <w:snapToGrid w:val="0"/>
      <w:color w:val="000000"/>
      <w:sz w:val="20"/>
      <w:szCs w:val="20"/>
      <w:lang w:val="x-none" w:eastAsia="x-none"/>
    </w:rPr>
  </w:style>
  <w:style w:type="character" w:styleId="FootnoteReference">
    <w:name w:val="footnote reference"/>
    <w:aliases w:val="Footnote Reference Number,Footnote symbol,Footnote Reference Superscript,ftref"/>
    <w:rsid w:val="00F51615"/>
    <w:rPr>
      <w:rFonts w:ascii="Garamond" w:hAnsi="Garamond"/>
      <w:sz w:val="20"/>
      <w:vertAlign w:val="superscript"/>
    </w:rPr>
  </w:style>
  <w:style w:type="paragraph" w:customStyle="1" w:styleId="Zpar">
    <w:name w:val="Z_par"/>
    <w:basedOn w:val="Z"/>
    <w:rsid w:val="00F51615"/>
    <w:pPr>
      <w:spacing w:after="480"/>
      <w:ind w:left="1418" w:hanging="851"/>
    </w:pPr>
    <w:rPr>
      <w:i/>
    </w:rPr>
  </w:style>
  <w:style w:type="character" w:customStyle="1" w:styleId="ListParagraphChar">
    <w:name w:val="List Paragraph Char"/>
    <w:aliases w:val="2 Char"/>
    <w:link w:val="ListParagraph"/>
    <w:uiPriority w:val="34"/>
    <w:locked/>
    <w:rsid w:val="00F51615"/>
  </w:style>
  <w:style w:type="paragraph" w:styleId="BodyTextIndent2">
    <w:name w:val="Body Text Indent 2"/>
    <w:basedOn w:val="Normal"/>
    <w:link w:val="BodyTextIndent2Char"/>
    <w:semiHidden/>
    <w:rsid w:val="00F51615"/>
    <w:pPr>
      <w:spacing w:before="120" w:after="120" w:line="240" w:lineRule="auto"/>
      <w:ind w:firstLine="706"/>
      <w:jc w:val="both"/>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semiHidden/>
    <w:rsid w:val="00F51615"/>
    <w:rPr>
      <w:rFonts w:ascii="Times New Roman" w:eastAsia="Times New Roman" w:hAnsi="Times New Roman" w:cs="Times New Roman"/>
      <w:sz w:val="24"/>
      <w:szCs w:val="20"/>
      <w:lang w:val="x-none" w:eastAsia="x-none"/>
    </w:rPr>
  </w:style>
  <w:style w:type="paragraph" w:customStyle="1" w:styleId="Default">
    <w:name w:val="Default"/>
    <w:rsid w:val="00F5161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Indent">
    <w:name w:val="Body Text Indent"/>
    <w:basedOn w:val="Normal"/>
    <w:link w:val="BodyTextIndentChar"/>
    <w:semiHidden/>
    <w:unhideWhenUsed/>
    <w:rsid w:val="00F51615"/>
    <w:pPr>
      <w:spacing w:after="120" w:line="240" w:lineRule="auto"/>
      <w:ind w:left="283" w:firstLine="567"/>
      <w:jc w:val="both"/>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semiHidden/>
    <w:rsid w:val="00F51615"/>
    <w:rPr>
      <w:rFonts w:ascii="Times New Roman" w:eastAsia="Times New Roman" w:hAnsi="Times New Roman" w:cs="Times New Roman"/>
      <w:sz w:val="24"/>
      <w:szCs w:val="20"/>
      <w:lang w:val="x-none" w:eastAsia="x-none"/>
    </w:rPr>
  </w:style>
  <w:style w:type="paragraph" w:customStyle="1" w:styleId="ridk">
    <w:name w:val="ridk"/>
    <w:basedOn w:val="Normal"/>
    <w:rsid w:val="00F51615"/>
    <w:pPr>
      <w:spacing w:before="100" w:beforeAutospacing="1" w:after="100" w:afterAutospacing="1" w:line="240" w:lineRule="auto"/>
    </w:pPr>
    <w:rPr>
      <w:rFonts w:ascii="Arial Unicode MS" w:eastAsia="Arial Unicode MS" w:hAnsi="Arial Unicode MS" w:cs="Arial Unicode MS"/>
      <w:sz w:val="24"/>
      <w:szCs w:val="24"/>
      <w:lang w:val="en-US"/>
    </w:rPr>
  </w:style>
  <w:style w:type="table" w:styleId="TableGrid">
    <w:name w:val="Table Grid"/>
    <w:basedOn w:val="TableNormal"/>
    <w:uiPriority w:val="39"/>
    <w:rsid w:val="00F51615"/>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1"/>
    <w:basedOn w:val="Heading1"/>
    <w:rsid w:val="00F51615"/>
    <w:pPr>
      <w:keepLines w:val="0"/>
      <w:numPr>
        <w:numId w:val="0"/>
      </w:numPr>
      <w:pBdr>
        <w:bottom w:val="none" w:sz="0" w:space="0" w:color="auto"/>
      </w:pBdr>
      <w:spacing w:before="240" w:after="60" w:line="240" w:lineRule="auto"/>
      <w:ind w:firstLine="709"/>
      <w:jc w:val="both"/>
    </w:pPr>
    <w:rPr>
      <w:rFonts w:ascii="Times New Roman" w:eastAsia="Calibri" w:hAnsi="Times New Roman" w:cs="Times New Roman"/>
      <w:smallCaps w:val="0"/>
      <w:color w:val="auto"/>
      <w:kern w:val="32"/>
      <w:sz w:val="40"/>
      <w:szCs w:val="40"/>
      <w:lang w:val="x-none" w:eastAsia="x-none"/>
    </w:rPr>
  </w:style>
  <w:style w:type="character" w:customStyle="1" w:styleId="spelle">
    <w:name w:val="spelle"/>
    <w:basedOn w:val="DefaultParagraphFont"/>
    <w:rsid w:val="00F51615"/>
  </w:style>
  <w:style w:type="paragraph" w:customStyle="1" w:styleId="ParagraphNumbering">
    <w:name w:val="Paragraph Numbering"/>
    <w:basedOn w:val="Normal"/>
    <w:uiPriority w:val="1"/>
    <w:qFormat/>
    <w:rsid w:val="00F51615"/>
    <w:pPr>
      <w:numPr>
        <w:numId w:val="3"/>
      </w:numPr>
      <w:spacing w:after="240" w:line="264" w:lineRule="auto"/>
    </w:pPr>
    <w:rPr>
      <w:rFonts w:ascii="Times New Roman" w:eastAsia="Calibri"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F51615"/>
    <w:rPr>
      <w:b/>
      <w:bCs/>
    </w:rPr>
  </w:style>
  <w:style w:type="character" w:customStyle="1" w:styleId="CommentSubjectChar">
    <w:name w:val="Comment Subject Char"/>
    <w:basedOn w:val="CommentTextChar"/>
    <w:link w:val="CommentSubject"/>
    <w:uiPriority w:val="99"/>
    <w:semiHidden/>
    <w:rsid w:val="00F51615"/>
    <w:rPr>
      <w:rFonts w:ascii="Times New Roman" w:eastAsia="Times New Roman" w:hAnsi="Times New Roman" w:cs="Times New Roman"/>
      <w:b/>
      <w:bCs/>
      <w:sz w:val="20"/>
      <w:szCs w:val="20"/>
      <w:lang w:val="x-none" w:eastAsia="x-none"/>
    </w:rPr>
  </w:style>
  <w:style w:type="paragraph" w:customStyle="1" w:styleId="otrais">
    <w:name w:val="otrais"/>
    <w:basedOn w:val="H2"/>
    <w:link w:val="otraisChar"/>
    <w:qFormat/>
    <w:rsid w:val="00F51615"/>
    <w:pPr>
      <w:tabs>
        <w:tab w:val="clear" w:pos="1134"/>
        <w:tab w:val="left" w:pos="567"/>
      </w:tabs>
      <w:ind w:left="567"/>
    </w:pPr>
    <w:rPr>
      <w:rFonts w:ascii="Times New Roman" w:hAnsi="Times New Roman"/>
    </w:rPr>
  </w:style>
  <w:style w:type="character" w:customStyle="1" w:styleId="otraisChar">
    <w:name w:val="otrais Char"/>
    <w:basedOn w:val="H2Char"/>
    <w:link w:val="otrais"/>
    <w:rsid w:val="00F51615"/>
    <w:rPr>
      <w:rFonts w:ascii="Times New Roman" w:eastAsia="Times New Roman" w:hAnsi="Times New Roman" w:cs="Times New Roman"/>
      <w:b/>
      <w:sz w:val="32"/>
      <w:szCs w:val="20"/>
    </w:rPr>
  </w:style>
  <w:style w:type="paragraph" w:customStyle="1" w:styleId="tresais">
    <w:name w:val="tresais"/>
    <w:basedOn w:val="H3"/>
    <w:link w:val="tresaisChar"/>
    <w:qFormat/>
    <w:rsid w:val="00F51615"/>
    <w:pPr>
      <w:ind w:left="0" w:firstLine="0"/>
    </w:pPr>
    <w:rPr>
      <w:rFonts w:ascii="Times New Roman" w:hAnsi="Times New Roman"/>
    </w:rPr>
  </w:style>
  <w:style w:type="character" w:customStyle="1" w:styleId="tresaisChar">
    <w:name w:val="tresais Char"/>
    <w:basedOn w:val="H3Char"/>
    <w:link w:val="tresais"/>
    <w:rsid w:val="00F51615"/>
    <w:rPr>
      <w:rFonts w:ascii="Times New Roman" w:eastAsia="Times New Roman" w:hAnsi="Times New Roman" w:cs="Times New Roman"/>
      <w:b/>
      <w:sz w:val="28"/>
      <w:szCs w:val="20"/>
    </w:rPr>
  </w:style>
  <w:style w:type="paragraph" w:styleId="TOC1">
    <w:name w:val="toc 1"/>
    <w:basedOn w:val="Normal"/>
    <w:next w:val="Normal"/>
    <w:autoRedefine/>
    <w:uiPriority w:val="39"/>
    <w:unhideWhenUsed/>
    <w:rsid w:val="00551458"/>
    <w:pPr>
      <w:tabs>
        <w:tab w:val="left" w:pos="284"/>
        <w:tab w:val="right" w:leader="dot" w:pos="9072"/>
      </w:tabs>
      <w:spacing w:after="0" w:line="240" w:lineRule="auto"/>
      <w:ind w:left="284" w:right="-1" w:hanging="284"/>
      <w:jc w:val="both"/>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F51615"/>
    <w:pPr>
      <w:tabs>
        <w:tab w:val="right" w:leader="dot" w:pos="9072"/>
      </w:tabs>
      <w:spacing w:after="0" w:line="240" w:lineRule="auto"/>
      <w:ind w:left="238" w:firstLine="46"/>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F51615"/>
    <w:pPr>
      <w:tabs>
        <w:tab w:val="right" w:leader="dot" w:pos="9061"/>
      </w:tabs>
      <w:spacing w:after="0" w:line="240" w:lineRule="auto"/>
      <w:ind w:left="482" w:firstLine="567"/>
      <w:jc w:val="both"/>
    </w:pPr>
    <w:rPr>
      <w:rFonts w:ascii="Times New Roman" w:eastAsia="Times New Roman" w:hAnsi="Times New Roman" w:cs="Times New Roman"/>
      <w:sz w:val="24"/>
      <w:szCs w:val="20"/>
    </w:rPr>
  </w:style>
  <w:style w:type="character" w:styleId="Hyperlink">
    <w:name w:val="Hyperlink"/>
    <w:uiPriority w:val="99"/>
    <w:unhideWhenUsed/>
    <w:rsid w:val="00F51615"/>
    <w:rPr>
      <w:color w:val="0000FF"/>
      <w:u w:val="single"/>
    </w:rPr>
  </w:style>
  <w:style w:type="paragraph" w:customStyle="1" w:styleId="naisf">
    <w:name w:val="naisf"/>
    <w:basedOn w:val="Normal"/>
    <w:rsid w:val="00F516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ksts">
    <w:name w:val="teksts"/>
    <w:rsid w:val="00F51615"/>
    <w:pPr>
      <w:spacing w:after="120" w:line="240" w:lineRule="auto"/>
      <w:jc w:val="both"/>
    </w:pPr>
    <w:rPr>
      <w:rFonts w:ascii="Garamond" w:eastAsia="Times New Roman" w:hAnsi="Garamond" w:cs="Times New Roman"/>
      <w:sz w:val="24"/>
      <w:szCs w:val="20"/>
    </w:rPr>
  </w:style>
  <w:style w:type="paragraph" w:customStyle="1" w:styleId="EE-paragr">
    <w:name w:val="EE-paragr"/>
    <w:basedOn w:val="Normal"/>
    <w:autoRedefine/>
    <w:uiPriority w:val="99"/>
    <w:rsid w:val="00F51615"/>
    <w:pPr>
      <w:spacing w:before="120" w:after="120" w:line="240" w:lineRule="auto"/>
      <w:jc w:val="both"/>
    </w:pPr>
    <w:rPr>
      <w:rFonts w:ascii="Times New Roman" w:eastAsia="Times New Roman" w:hAnsi="Times New Roman" w:cs="Times New Roman"/>
      <w:iCs/>
      <w:sz w:val="24"/>
      <w:szCs w:val="24"/>
      <w:lang w:eastAsia="lv-LV" w:bidi="lo-LA"/>
    </w:rPr>
  </w:style>
  <w:style w:type="paragraph" w:customStyle="1" w:styleId="tabtekst">
    <w:name w:val="tab_tekst"/>
    <w:basedOn w:val="Normal"/>
    <w:rsid w:val="00F51615"/>
    <w:pPr>
      <w:spacing w:after="0" w:line="240" w:lineRule="auto"/>
    </w:pPr>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F516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1pt">
    <w:name w:val="Normal + 11 pt"/>
    <w:aliases w:val="Bold,Justified,Line spacing:  1.5 lines"/>
    <w:basedOn w:val="Normal"/>
    <w:rsid w:val="00F51615"/>
    <w:pPr>
      <w:widowControl w:val="0"/>
      <w:adjustRightInd w:val="0"/>
      <w:spacing w:after="0" w:line="360" w:lineRule="auto"/>
      <w:jc w:val="both"/>
      <w:textAlignment w:val="baseline"/>
    </w:pPr>
    <w:rPr>
      <w:rFonts w:ascii="Times New Roman" w:eastAsia="Times New Roman" w:hAnsi="Times New Roman" w:cs="Times New Roman"/>
      <w:b/>
      <w:lang w:val="en-GB" w:eastAsia="lv-LV"/>
    </w:rPr>
  </w:style>
  <w:style w:type="paragraph" w:styleId="BodyText">
    <w:name w:val="Body Text"/>
    <w:basedOn w:val="Normal"/>
    <w:link w:val="BodyTextChar"/>
    <w:uiPriority w:val="99"/>
    <w:semiHidden/>
    <w:unhideWhenUsed/>
    <w:rsid w:val="00F51615"/>
    <w:pPr>
      <w:spacing w:after="120" w:line="240" w:lineRule="auto"/>
      <w:ind w:firstLine="567"/>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uiPriority w:val="99"/>
    <w:semiHidden/>
    <w:rsid w:val="00F51615"/>
    <w:rPr>
      <w:rFonts w:ascii="Times New Roman" w:eastAsia="Times New Roman" w:hAnsi="Times New Roman" w:cs="Times New Roman"/>
      <w:sz w:val="24"/>
      <w:szCs w:val="20"/>
      <w:lang w:val="x-none"/>
    </w:rPr>
  </w:style>
  <w:style w:type="paragraph" w:styleId="BodyText3">
    <w:name w:val="Body Text 3"/>
    <w:basedOn w:val="Normal"/>
    <w:link w:val="BodyText3Char"/>
    <w:uiPriority w:val="99"/>
    <w:semiHidden/>
    <w:unhideWhenUsed/>
    <w:rsid w:val="00F51615"/>
    <w:pPr>
      <w:spacing w:after="120" w:line="240" w:lineRule="auto"/>
      <w:ind w:firstLine="567"/>
      <w:jc w:val="both"/>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uiPriority w:val="99"/>
    <w:semiHidden/>
    <w:rsid w:val="00F51615"/>
    <w:rPr>
      <w:rFonts w:ascii="Times New Roman" w:eastAsia="Times New Roman" w:hAnsi="Times New Roman" w:cs="Times New Roman"/>
      <w:sz w:val="16"/>
      <w:szCs w:val="16"/>
      <w:lang w:val="x-none"/>
    </w:rPr>
  </w:style>
  <w:style w:type="paragraph" w:styleId="TOC8">
    <w:name w:val="toc 8"/>
    <w:basedOn w:val="Normal"/>
    <w:next w:val="Normal"/>
    <w:autoRedefine/>
    <w:uiPriority w:val="39"/>
    <w:semiHidden/>
    <w:unhideWhenUsed/>
    <w:rsid w:val="00F51615"/>
    <w:pPr>
      <w:spacing w:after="120" w:line="240" w:lineRule="auto"/>
      <w:ind w:left="1680" w:firstLine="567"/>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F51615"/>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F51615"/>
    <w:rPr>
      <w:rFonts w:ascii="Consolas" w:eastAsia="Calibri" w:hAnsi="Consolas" w:cs="Times New Roman"/>
      <w:sz w:val="21"/>
      <w:szCs w:val="21"/>
      <w:lang w:val="x-none" w:eastAsia="x-none"/>
    </w:rPr>
  </w:style>
  <w:style w:type="paragraph" w:customStyle="1" w:styleId="Text1">
    <w:name w:val="Text 1"/>
    <w:basedOn w:val="Normal"/>
    <w:uiPriority w:val="99"/>
    <w:rsid w:val="00F51615"/>
    <w:pPr>
      <w:spacing w:before="120" w:after="120" w:line="240" w:lineRule="auto"/>
      <w:ind w:left="850"/>
      <w:jc w:val="both"/>
    </w:pPr>
    <w:rPr>
      <w:rFonts w:ascii="Times New Roman" w:eastAsia="Times New Roman" w:hAnsi="Times New Roman" w:cs="Times New Roman"/>
      <w:sz w:val="24"/>
      <w:szCs w:val="20"/>
      <w:lang w:val="en-GB" w:eastAsia="de-DE"/>
    </w:rPr>
  </w:style>
  <w:style w:type="character" w:styleId="FollowedHyperlink">
    <w:name w:val="FollowedHyperlink"/>
    <w:uiPriority w:val="99"/>
    <w:semiHidden/>
    <w:unhideWhenUsed/>
    <w:rsid w:val="00F51615"/>
    <w:rPr>
      <w:color w:val="800080"/>
      <w:u w:val="single"/>
    </w:rPr>
  </w:style>
  <w:style w:type="paragraph" w:styleId="Revision">
    <w:name w:val="Revision"/>
    <w:hidden/>
    <w:uiPriority w:val="99"/>
    <w:semiHidden/>
    <w:rsid w:val="00F51615"/>
    <w:pPr>
      <w:spacing w:after="0" w:line="240" w:lineRule="auto"/>
    </w:pPr>
    <w:rPr>
      <w:rFonts w:ascii="Times New Roman" w:eastAsia="Times New Roman" w:hAnsi="Times New Roman" w:cs="Times New Roman"/>
      <w:sz w:val="24"/>
      <w:szCs w:val="20"/>
    </w:rPr>
  </w:style>
  <w:style w:type="paragraph" w:customStyle="1" w:styleId="tv2131">
    <w:name w:val="tv2131"/>
    <w:basedOn w:val="Normal"/>
    <w:rsid w:val="00F51615"/>
    <w:pPr>
      <w:spacing w:before="240" w:after="0" w:line="360" w:lineRule="auto"/>
      <w:ind w:firstLine="300"/>
      <w:jc w:val="both"/>
    </w:pPr>
    <w:rPr>
      <w:rFonts w:ascii="Verdana" w:eastAsia="Times New Roman" w:hAnsi="Verdana" w:cs="Times New Roman"/>
      <w:sz w:val="18"/>
      <w:szCs w:val="18"/>
      <w:lang w:eastAsia="lv-LV"/>
    </w:rPr>
  </w:style>
  <w:style w:type="paragraph" w:customStyle="1" w:styleId="CM1">
    <w:name w:val="CM1"/>
    <w:basedOn w:val="Default"/>
    <w:next w:val="Default"/>
    <w:uiPriority w:val="99"/>
    <w:rsid w:val="00F51615"/>
    <w:rPr>
      <w:rFonts w:ascii="EUAlbertina" w:eastAsia="Calibri" w:hAnsi="EUAlbertina"/>
      <w:color w:val="auto"/>
      <w:lang w:val="en-GB" w:eastAsia="en-GB"/>
    </w:rPr>
  </w:style>
  <w:style w:type="character" w:customStyle="1" w:styleId="st1">
    <w:name w:val="st1"/>
    <w:basedOn w:val="DefaultParagraphFont"/>
    <w:rsid w:val="00F51615"/>
  </w:style>
  <w:style w:type="paragraph" w:customStyle="1" w:styleId="mt-translation1">
    <w:name w:val="mt-translation1"/>
    <w:basedOn w:val="Normal"/>
    <w:rsid w:val="00F51615"/>
    <w:pPr>
      <w:spacing w:after="0" w:line="240" w:lineRule="auto"/>
    </w:pPr>
    <w:rPr>
      <w:rFonts w:ascii="Segoe UI" w:eastAsia="Times New Roman" w:hAnsi="Segoe UI" w:cs="Segoe UI"/>
      <w:lang w:eastAsia="lv-LV"/>
    </w:rPr>
  </w:style>
  <w:style w:type="table" w:customStyle="1" w:styleId="ListTable3Accent1">
    <w:name w:val="List Table 3 Accent 1"/>
    <w:basedOn w:val="TableNormal"/>
    <w:uiPriority w:val="48"/>
    <w:rsid w:val="00400D0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2Accent1">
    <w:name w:val="Grid Table 2 Accent 1"/>
    <w:basedOn w:val="TableNormal"/>
    <w:uiPriority w:val="47"/>
    <w:rsid w:val="00400D0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
    <w:name w:val="Grid Table 1 Light Accent 1"/>
    <w:basedOn w:val="TableNormal"/>
    <w:uiPriority w:val="46"/>
    <w:rsid w:val="00400D0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00D0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400D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400D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0D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5775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0144E7"/>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609E"/>
  </w:style>
  <w:style w:type="table" w:customStyle="1" w:styleId="TableGrid2">
    <w:name w:val="Table Grid2"/>
    <w:basedOn w:val="TableNormal"/>
    <w:next w:val="TableGrid"/>
    <w:uiPriority w:val="39"/>
    <w:rsid w:val="0009609E"/>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67FC"/>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TableNormal"/>
    <w:uiPriority w:val="51"/>
    <w:rsid w:val="00EE7F4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
    <w:name w:val="Grid Table 6 Colorful Accent 5"/>
    <w:basedOn w:val="TableNormal"/>
    <w:uiPriority w:val="51"/>
    <w:rsid w:val="00EE7F4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D811E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ps">
    <w:name w:val="hps"/>
    <w:basedOn w:val="DefaultParagraphFont"/>
    <w:rsid w:val="00DB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015">
      <w:bodyDiv w:val="1"/>
      <w:marLeft w:val="0"/>
      <w:marRight w:val="0"/>
      <w:marTop w:val="0"/>
      <w:marBottom w:val="0"/>
      <w:divBdr>
        <w:top w:val="none" w:sz="0" w:space="0" w:color="auto"/>
        <w:left w:val="none" w:sz="0" w:space="0" w:color="auto"/>
        <w:bottom w:val="none" w:sz="0" w:space="0" w:color="auto"/>
        <w:right w:val="none" w:sz="0" w:space="0" w:color="auto"/>
      </w:divBdr>
    </w:div>
    <w:div w:id="35666004">
      <w:bodyDiv w:val="1"/>
      <w:marLeft w:val="0"/>
      <w:marRight w:val="0"/>
      <w:marTop w:val="0"/>
      <w:marBottom w:val="0"/>
      <w:divBdr>
        <w:top w:val="none" w:sz="0" w:space="0" w:color="auto"/>
        <w:left w:val="none" w:sz="0" w:space="0" w:color="auto"/>
        <w:bottom w:val="none" w:sz="0" w:space="0" w:color="auto"/>
        <w:right w:val="none" w:sz="0" w:space="0" w:color="auto"/>
      </w:divBdr>
    </w:div>
    <w:div w:id="40982938">
      <w:bodyDiv w:val="1"/>
      <w:marLeft w:val="0"/>
      <w:marRight w:val="0"/>
      <w:marTop w:val="0"/>
      <w:marBottom w:val="0"/>
      <w:divBdr>
        <w:top w:val="none" w:sz="0" w:space="0" w:color="auto"/>
        <w:left w:val="none" w:sz="0" w:space="0" w:color="auto"/>
        <w:bottom w:val="none" w:sz="0" w:space="0" w:color="auto"/>
        <w:right w:val="none" w:sz="0" w:space="0" w:color="auto"/>
      </w:divBdr>
    </w:div>
    <w:div w:id="74086681">
      <w:bodyDiv w:val="1"/>
      <w:marLeft w:val="0"/>
      <w:marRight w:val="0"/>
      <w:marTop w:val="0"/>
      <w:marBottom w:val="0"/>
      <w:divBdr>
        <w:top w:val="none" w:sz="0" w:space="0" w:color="auto"/>
        <w:left w:val="none" w:sz="0" w:space="0" w:color="auto"/>
        <w:bottom w:val="none" w:sz="0" w:space="0" w:color="auto"/>
        <w:right w:val="none" w:sz="0" w:space="0" w:color="auto"/>
      </w:divBdr>
    </w:div>
    <w:div w:id="516312171">
      <w:bodyDiv w:val="1"/>
      <w:marLeft w:val="0"/>
      <w:marRight w:val="0"/>
      <w:marTop w:val="0"/>
      <w:marBottom w:val="0"/>
      <w:divBdr>
        <w:top w:val="none" w:sz="0" w:space="0" w:color="auto"/>
        <w:left w:val="none" w:sz="0" w:space="0" w:color="auto"/>
        <w:bottom w:val="none" w:sz="0" w:space="0" w:color="auto"/>
        <w:right w:val="none" w:sz="0" w:space="0" w:color="auto"/>
      </w:divBdr>
    </w:div>
    <w:div w:id="645016098">
      <w:bodyDiv w:val="1"/>
      <w:marLeft w:val="0"/>
      <w:marRight w:val="0"/>
      <w:marTop w:val="0"/>
      <w:marBottom w:val="0"/>
      <w:divBdr>
        <w:top w:val="none" w:sz="0" w:space="0" w:color="auto"/>
        <w:left w:val="none" w:sz="0" w:space="0" w:color="auto"/>
        <w:bottom w:val="none" w:sz="0" w:space="0" w:color="auto"/>
        <w:right w:val="none" w:sz="0" w:space="0" w:color="auto"/>
      </w:divBdr>
    </w:div>
    <w:div w:id="1202282923">
      <w:bodyDiv w:val="1"/>
      <w:marLeft w:val="0"/>
      <w:marRight w:val="0"/>
      <w:marTop w:val="0"/>
      <w:marBottom w:val="0"/>
      <w:divBdr>
        <w:top w:val="none" w:sz="0" w:space="0" w:color="auto"/>
        <w:left w:val="none" w:sz="0" w:space="0" w:color="auto"/>
        <w:bottom w:val="none" w:sz="0" w:space="0" w:color="auto"/>
        <w:right w:val="none" w:sz="0" w:space="0" w:color="auto"/>
      </w:divBdr>
    </w:div>
    <w:div w:id="1234776103">
      <w:bodyDiv w:val="1"/>
      <w:marLeft w:val="0"/>
      <w:marRight w:val="0"/>
      <w:marTop w:val="0"/>
      <w:marBottom w:val="0"/>
      <w:divBdr>
        <w:top w:val="none" w:sz="0" w:space="0" w:color="auto"/>
        <w:left w:val="none" w:sz="0" w:space="0" w:color="auto"/>
        <w:bottom w:val="none" w:sz="0" w:space="0" w:color="auto"/>
        <w:right w:val="none" w:sz="0" w:space="0" w:color="auto"/>
      </w:divBdr>
    </w:div>
    <w:div w:id="1420523522">
      <w:bodyDiv w:val="1"/>
      <w:marLeft w:val="0"/>
      <w:marRight w:val="0"/>
      <w:marTop w:val="0"/>
      <w:marBottom w:val="0"/>
      <w:divBdr>
        <w:top w:val="none" w:sz="0" w:space="0" w:color="auto"/>
        <w:left w:val="none" w:sz="0" w:space="0" w:color="auto"/>
        <w:bottom w:val="none" w:sz="0" w:space="0" w:color="auto"/>
        <w:right w:val="none" w:sz="0" w:space="0" w:color="auto"/>
      </w:divBdr>
    </w:div>
    <w:div w:id="1424378592">
      <w:bodyDiv w:val="1"/>
      <w:marLeft w:val="0"/>
      <w:marRight w:val="0"/>
      <w:marTop w:val="0"/>
      <w:marBottom w:val="0"/>
      <w:divBdr>
        <w:top w:val="none" w:sz="0" w:space="0" w:color="auto"/>
        <w:left w:val="none" w:sz="0" w:space="0" w:color="auto"/>
        <w:bottom w:val="none" w:sz="0" w:space="0" w:color="auto"/>
        <w:right w:val="none" w:sz="0" w:space="0" w:color="auto"/>
      </w:divBdr>
    </w:div>
    <w:div w:id="1457064674">
      <w:bodyDiv w:val="1"/>
      <w:marLeft w:val="0"/>
      <w:marRight w:val="0"/>
      <w:marTop w:val="0"/>
      <w:marBottom w:val="0"/>
      <w:divBdr>
        <w:top w:val="none" w:sz="0" w:space="0" w:color="auto"/>
        <w:left w:val="none" w:sz="0" w:space="0" w:color="auto"/>
        <w:bottom w:val="none" w:sz="0" w:space="0" w:color="auto"/>
        <w:right w:val="none" w:sz="0" w:space="0" w:color="auto"/>
      </w:divBdr>
    </w:div>
    <w:div w:id="1716419001">
      <w:bodyDiv w:val="1"/>
      <w:marLeft w:val="0"/>
      <w:marRight w:val="0"/>
      <w:marTop w:val="0"/>
      <w:marBottom w:val="0"/>
      <w:divBdr>
        <w:top w:val="none" w:sz="0" w:space="0" w:color="auto"/>
        <w:left w:val="none" w:sz="0" w:space="0" w:color="auto"/>
        <w:bottom w:val="none" w:sz="0" w:space="0" w:color="auto"/>
        <w:right w:val="none" w:sz="0" w:space="0" w:color="auto"/>
      </w:divBdr>
    </w:div>
    <w:div w:id="1742750254">
      <w:bodyDiv w:val="1"/>
      <w:marLeft w:val="0"/>
      <w:marRight w:val="0"/>
      <w:marTop w:val="0"/>
      <w:marBottom w:val="0"/>
      <w:divBdr>
        <w:top w:val="none" w:sz="0" w:space="0" w:color="auto"/>
        <w:left w:val="none" w:sz="0" w:space="0" w:color="auto"/>
        <w:bottom w:val="none" w:sz="0" w:space="0" w:color="auto"/>
        <w:right w:val="none" w:sz="0" w:space="0" w:color="auto"/>
      </w:divBdr>
    </w:div>
    <w:div w:id="1805270287">
      <w:bodyDiv w:val="1"/>
      <w:marLeft w:val="0"/>
      <w:marRight w:val="0"/>
      <w:marTop w:val="0"/>
      <w:marBottom w:val="0"/>
      <w:divBdr>
        <w:top w:val="none" w:sz="0" w:space="0" w:color="auto"/>
        <w:left w:val="none" w:sz="0" w:space="0" w:color="auto"/>
        <w:bottom w:val="none" w:sz="0" w:space="0" w:color="auto"/>
        <w:right w:val="none" w:sz="0" w:space="0" w:color="auto"/>
      </w:divBdr>
    </w:div>
    <w:div w:id="1891769886">
      <w:bodyDiv w:val="1"/>
      <w:marLeft w:val="0"/>
      <w:marRight w:val="0"/>
      <w:marTop w:val="0"/>
      <w:marBottom w:val="0"/>
      <w:divBdr>
        <w:top w:val="none" w:sz="0" w:space="0" w:color="auto"/>
        <w:left w:val="none" w:sz="0" w:space="0" w:color="auto"/>
        <w:bottom w:val="none" w:sz="0" w:space="0" w:color="auto"/>
        <w:right w:val="none" w:sz="0" w:space="0" w:color="auto"/>
      </w:divBdr>
    </w:div>
    <w:div w:id="1991254365">
      <w:bodyDiv w:val="1"/>
      <w:marLeft w:val="0"/>
      <w:marRight w:val="0"/>
      <w:marTop w:val="0"/>
      <w:marBottom w:val="0"/>
      <w:divBdr>
        <w:top w:val="none" w:sz="0" w:space="0" w:color="auto"/>
        <w:left w:val="none" w:sz="0" w:space="0" w:color="auto"/>
        <w:bottom w:val="none" w:sz="0" w:space="0" w:color="auto"/>
        <w:right w:val="none" w:sz="0" w:space="0" w:color="auto"/>
      </w:divBdr>
    </w:div>
    <w:div w:id="20758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image" Target="media/image5.png"/><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chart" Target="charts/chart10.xml"/><Relationship Id="rId27" Type="http://schemas.openxmlformats.org/officeDocument/2006/relationships/image" Target="media/image7.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conomy_finance/db_indicators/fiscal_governance/index_en.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FPJ\TAND\Prezentacija\Prezentacijas-DATA.xlsx" TargetMode="External"/></Relationships>
</file>

<file path=word/charts/_rels/chart10.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Microsoft_Excel_Worksheet3.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td-jursa\Desktop\Stab_prog\Copy%20of%2003_MB_ceturksna_gada_datu_tabulas_2015.03.1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FPJ\TAND\Prezentacija\Prezentacijas-DATA.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package" Target="../embeddings/Microsoft_Excel_Worksheet2.xlsx"/><Relationship Id="rId1" Type="http://schemas.openxmlformats.org/officeDocument/2006/relationships/themeOverride" Target="../theme/themeOverride2.xml"/><Relationship Id="rId4"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oleObject" Target="file:///\\fs\FPJ\FPD\Tautsaimniecibas_un_fiskalas_parvaldibas_nodala\Gints\_Eiropas_semestris\_SP_2015_2018\teksts\defense_exp.xlsx" TargetMode="External"/><Relationship Id="rId1" Type="http://schemas.openxmlformats.org/officeDocument/2006/relationships/themeOverride" Target="../theme/themeOverride3.xml"/><Relationship Id="rId4"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oleObject" Target="../embeddings/oleObject1.bin"/><Relationship Id="rId1" Type="http://schemas.openxmlformats.org/officeDocument/2006/relationships/themeOverride" Target="../theme/themeOverride4.xml"/><Relationship Id="rId4"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207165133474054E-2"/>
          <c:y val="4.7159699892818867E-2"/>
          <c:w val="0.93521042134108123"/>
          <c:h val="0.68372281439096638"/>
        </c:manualLayout>
      </c:layout>
      <c:barChart>
        <c:barDir val="col"/>
        <c:grouping val="clustered"/>
        <c:varyColors val="0"/>
        <c:ser>
          <c:idx val="4"/>
          <c:order val="3"/>
          <c:tx>
            <c:strRef>
              <c:f>'Parnervalstu svērtā izaugsme'!$C$9</c:f>
              <c:strCache>
                <c:ptCount val="1"/>
                <c:pt idx="0">
                  <c:v>Latvija</c:v>
                </c:pt>
              </c:strCache>
            </c:strRef>
          </c:tx>
          <c:spPr>
            <a:solidFill>
              <a:srgbClr val="C00000"/>
            </a:solidFill>
            <a:ln>
              <a:noFill/>
            </a:ln>
            <a:effectLst/>
          </c:spPr>
          <c:invertIfNegative val="0"/>
          <c:cat>
            <c:multiLvlStrRef>
              <c:f>'Parnervalstu svērtā izaugsme'!$A$14:$B$23</c:f>
              <c:multiLvlStrCache>
                <c:ptCount val="10"/>
                <c:lvl>
                  <c:pt idx="0">
                    <c:v>I</c:v>
                  </c:pt>
                  <c:pt idx="1">
                    <c:v>II</c:v>
                  </c:pt>
                  <c:pt idx="2">
                    <c:v>III</c:v>
                  </c:pt>
                  <c:pt idx="3">
                    <c:v>IV</c:v>
                  </c:pt>
                  <c:pt idx="4">
                    <c:v>I</c:v>
                  </c:pt>
                  <c:pt idx="5">
                    <c:v>II</c:v>
                  </c:pt>
                  <c:pt idx="6">
                    <c:v>III</c:v>
                  </c:pt>
                  <c:pt idx="7">
                    <c:v>IV</c:v>
                  </c:pt>
                  <c:pt idx="8">
                    <c:v>I</c:v>
                  </c:pt>
                  <c:pt idx="9">
                    <c:v>II</c:v>
                  </c:pt>
                </c:lvl>
                <c:lvl>
                  <c:pt idx="0">
                    <c:v>2012</c:v>
                  </c:pt>
                  <c:pt idx="4">
                    <c:v>2013</c:v>
                  </c:pt>
                  <c:pt idx="8">
                    <c:v>2014</c:v>
                  </c:pt>
                </c:lvl>
              </c:multiLvlStrCache>
            </c:multiLvlStrRef>
          </c:cat>
          <c:val>
            <c:numRef>
              <c:f>'Parnervalstu svērtā izaugsme'!$L$14:$L$27</c:f>
              <c:numCache>
                <c:formatCode>General</c:formatCode>
                <c:ptCount val="14"/>
                <c:pt idx="12" formatCode="#,##0.0">
                  <c:v>2.1</c:v>
                </c:pt>
                <c:pt idx="13">
                  <c:v>3</c:v>
                </c:pt>
              </c:numCache>
            </c:numRef>
          </c:val>
        </c:ser>
        <c:ser>
          <c:idx val="3"/>
          <c:order val="4"/>
          <c:tx>
            <c:strRef>
              <c:f>'Parnervalstu svērtā izaugsme'!$J$9</c:f>
              <c:strCache>
                <c:ptCount val="1"/>
                <c:pt idx="0">
                  <c:v>ES</c:v>
                </c:pt>
              </c:strCache>
            </c:strRef>
          </c:tx>
          <c:spPr>
            <a:solidFill>
              <a:srgbClr val="10253F"/>
            </a:solidFill>
            <a:ln>
              <a:noFill/>
            </a:ln>
            <a:effectLst/>
          </c:spPr>
          <c:invertIfNegative val="0"/>
          <c:cat>
            <c:multiLvlStrRef>
              <c:f>'Parnervalstu svērtā izaugsme'!$A$14:$B$23</c:f>
              <c:multiLvlStrCache>
                <c:ptCount val="10"/>
                <c:lvl>
                  <c:pt idx="0">
                    <c:v>I</c:v>
                  </c:pt>
                  <c:pt idx="1">
                    <c:v>II</c:v>
                  </c:pt>
                  <c:pt idx="2">
                    <c:v>III</c:v>
                  </c:pt>
                  <c:pt idx="3">
                    <c:v>IV</c:v>
                  </c:pt>
                  <c:pt idx="4">
                    <c:v>I</c:v>
                  </c:pt>
                  <c:pt idx="5">
                    <c:v>II</c:v>
                  </c:pt>
                  <c:pt idx="6">
                    <c:v>III</c:v>
                  </c:pt>
                  <c:pt idx="7">
                    <c:v>IV</c:v>
                  </c:pt>
                  <c:pt idx="8">
                    <c:v>I</c:v>
                  </c:pt>
                  <c:pt idx="9">
                    <c:v>II</c:v>
                  </c:pt>
                </c:lvl>
                <c:lvl>
                  <c:pt idx="0">
                    <c:v>2012</c:v>
                  </c:pt>
                  <c:pt idx="4">
                    <c:v>2013</c:v>
                  </c:pt>
                  <c:pt idx="8">
                    <c:v>2014</c:v>
                  </c:pt>
                </c:lvl>
              </c:multiLvlStrCache>
            </c:multiLvlStrRef>
          </c:cat>
          <c:val>
            <c:numRef>
              <c:f>'Parnervalstu svērtā izaugsme'!$M$14:$M$27</c:f>
              <c:numCache>
                <c:formatCode>General</c:formatCode>
                <c:ptCount val="14"/>
                <c:pt idx="12" formatCode="#,##0.0">
                  <c:v>1.7</c:v>
                </c:pt>
                <c:pt idx="13">
                  <c:v>2.1</c:v>
                </c:pt>
              </c:numCache>
            </c:numRef>
          </c:val>
        </c:ser>
        <c:ser>
          <c:idx val="5"/>
          <c:order val="5"/>
          <c:tx>
            <c:strRef>
              <c:f>'Parnervalstu svērtā izaugsme'!$K$9</c:f>
              <c:strCache>
                <c:ptCount val="1"/>
                <c:pt idx="0">
                  <c:v>Partnervalstis*</c:v>
                </c:pt>
              </c:strCache>
            </c:strRef>
          </c:tx>
          <c:spPr>
            <a:solidFill>
              <a:srgbClr val="9BBB59"/>
            </a:solidFill>
            <a:ln>
              <a:noFill/>
            </a:ln>
            <a:effectLst/>
          </c:spPr>
          <c:invertIfNegative val="0"/>
          <c:cat>
            <c:multiLvlStrRef>
              <c:f>'Parnervalstu svērtā izaugsme'!$A$14:$B$23</c:f>
              <c:multiLvlStrCache>
                <c:ptCount val="10"/>
                <c:lvl>
                  <c:pt idx="0">
                    <c:v>I</c:v>
                  </c:pt>
                  <c:pt idx="1">
                    <c:v>II</c:v>
                  </c:pt>
                  <c:pt idx="2">
                    <c:v>III</c:v>
                  </c:pt>
                  <c:pt idx="3">
                    <c:v>IV</c:v>
                  </c:pt>
                  <c:pt idx="4">
                    <c:v>I</c:v>
                  </c:pt>
                  <c:pt idx="5">
                    <c:v>II</c:v>
                  </c:pt>
                  <c:pt idx="6">
                    <c:v>III</c:v>
                  </c:pt>
                  <c:pt idx="7">
                    <c:v>IV</c:v>
                  </c:pt>
                  <c:pt idx="8">
                    <c:v>I</c:v>
                  </c:pt>
                  <c:pt idx="9">
                    <c:v>II</c:v>
                  </c:pt>
                </c:lvl>
                <c:lvl>
                  <c:pt idx="0">
                    <c:v>2012</c:v>
                  </c:pt>
                  <c:pt idx="4">
                    <c:v>2013</c:v>
                  </c:pt>
                  <c:pt idx="8">
                    <c:v>2014</c:v>
                  </c:pt>
                </c:lvl>
              </c:multiLvlStrCache>
            </c:multiLvlStrRef>
          </c:cat>
          <c:val>
            <c:numRef>
              <c:f>'Parnervalstu svērtā izaugsme'!$N$14:$N$27</c:f>
              <c:numCache>
                <c:formatCode>General</c:formatCode>
                <c:ptCount val="14"/>
                <c:pt idx="12" formatCode="#,##0.0">
                  <c:v>1.4721629225735011</c:v>
                </c:pt>
                <c:pt idx="13">
                  <c:v>2.4</c:v>
                </c:pt>
              </c:numCache>
            </c:numRef>
          </c:val>
        </c:ser>
        <c:dLbls>
          <c:showLegendKey val="0"/>
          <c:showVal val="0"/>
          <c:showCatName val="0"/>
          <c:showSerName val="0"/>
          <c:showPercent val="0"/>
          <c:showBubbleSize val="0"/>
        </c:dLbls>
        <c:gapWidth val="150"/>
        <c:axId val="51559424"/>
        <c:axId val="51569408"/>
      </c:barChart>
      <c:lineChart>
        <c:grouping val="standard"/>
        <c:varyColors val="0"/>
        <c:ser>
          <c:idx val="0"/>
          <c:order val="0"/>
          <c:tx>
            <c:strRef>
              <c:f>'Parnervalstu svērtā izaugsme'!$J$9</c:f>
              <c:strCache>
                <c:ptCount val="1"/>
                <c:pt idx="0">
                  <c:v>ES</c:v>
                </c:pt>
              </c:strCache>
            </c:strRef>
          </c:tx>
          <c:spPr>
            <a:ln w="28575" cap="rnd">
              <a:solidFill>
                <a:srgbClr val="10253F"/>
              </a:solidFill>
              <a:round/>
            </a:ln>
            <a:effectLst/>
          </c:spPr>
          <c:marker>
            <c:symbol val="none"/>
          </c:marker>
          <c:cat>
            <c:multiLvlStrRef>
              <c:f>'Parnervalstu svērtā izaugsme'!$A$14:$B$28</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2015</c:v>
                  </c:pt>
                  <c:pt idx="13">
                    <c:v>2016</c:v>
                  </c:pt>
                </c:lvl>
                <c:lvl>
                  <c:pt idx="0">
                    <c:v>2012</c:v>
                  </c:pt>
                  <c:pt idx="4">
                    <c:v>2013</c:v>
                  </c:pt>
                  <c:pt idx="8">
                    <c:v>2014</c:v>
                  </c:pt>
                  <c:pt idx="12">
                    <c:v>Prognoze**</c:v>
                  </c:pt>
                  <c:pt idx="14">
                    <c:v>2015</c:v>
                  </c:pt>
                </c:lvl>
              </c:multiLvlStrCache>
            </c:multiLvlStrRef>
          </c:cat>
          <c:val>
            <c:numRef>
              <c:f>'Parnervalstu svērtā izaugsme'!$J$14:$J$25</c:f>
              <c:numCache>
                <c:formatCode>#,##0.0</c:formatCode>
                <c:ptCount val="12"/>
                <c:pt idx="0">
                  <c:v>0.3</c:v>
                </c:pt>
                <c:pt idx="1">
                  <c:v>-0.7</c:v>
                </c:pt>
                <c:pt idx="2">
                  <c:v>-0.6</c:v>
                </c:pt>
                <c:pt idx="3">
                  <c:v>-0.9</c:v>
                </c:pt>
                <c:pt idx="4">
                  <c:v>-1.3</c:v>
                </c:pt>
                <c:pt idx="5">
                  <c:v>0</c:v>
                </c:pt>
                <c:pt idx="6">
                  <c:v>0.5</c:v>
                </c:pt>
                <c:pt idx="7">
                  <c:v>0.9</c:v>
                </c:pt>
                <c:pt idx="8">
                  <c:v>1.4</c:v>
                </c:pt>
                <c:pt idx="9">
                  <c:v>1.2</c:v>
                </c:pt>
                <c:pt idx="10">
                  <c:v>1.3</c:v>
                </c:pt>
                <c:pt idx="11">
                  <c:v>1.2</c:v>
                </c:pt>
              </c:numCache>
            </c:numRef>
          </c:val>
          <c:smooth val="0"/>
        </c:ser>
        <c:ser>
          <c:idx val="1"/>
          <c:order val="1"/>
          <c:tx>
            <c:strRef>
              <c:f>'Parnervalstu svērtā izaugsme'!$K$9</c:f>
              <c:strCache>
                <c:ptCount val="1"/>
                <c:pt idx="0">
                  <c:v>Partnervalstis*</c:v>
                </c:pt>
              </c:strCache>
            </c:strRef>
          </c:tx>
          <c:spPr>
            <a:ln w="28575" cap="rnd">
              <a:solidFill>
                <a:srgbClr val="9BBB59"/>
              </a:solidFill>
              <a:round/>
            </a:ln>
            <a:effectLst/>
          </c:spPr>
          <c:marker>
            <c:symbol val="none"/>
          </c:marker>
          <c:cat>
            <c:multiLvlStrRef>
              <c:f>'Parnervalstu svērtā izaugsme'!$A$14:$B$28</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2015</c:v>
                  </c:pt>
                  <c:pt idx="13">
                    <c:v>2016</c:v>
                  </c:pt>
                </c:lvl>
                <c:lvl>
                  <c:pt idx="0">
                    <c:v>2012</c:v>
                  </c:pt>
                  <c:pt idx="4">
                    <c:v>2013</c:v>
                  </c:pt>
                  <c:pt idx="8">
                    <c:v>2014</c:v>
                  </c:pt>
                  <c:pt idx="12">
                    <c:v>Prognoze**</c:v>
                  </c:pt>
                  <c:pt idx="14">
                    <c:v>2015</c:v>
                  </c:pt>
                </c:lvl>
              </c:multiLvlStrCache>
            </c:multiLvlStrRef>
          </c:cat>
          <c:val>
            <c:numRef>
              <c:f>'Parnervalstu svērtā izaugsme'!$K$14:$K$25</c:f>
              <c:numCache>
                <c:formatCode>#,##0.0</c:formatCode>
                <c:ptCount val="12"/>
                <c:pt idx="0">
                  <c:v>3.8509480245590644</c:v>
                </c:pt>
                <c:pt idx="1">
                  <c:v>2.6583393990102202</c:v>
                </c:pt>
                <c:pt idx="2">
                  <c:v>2.9977668826281882</c:v>
                </c:pt>
                <c:pt idx="3">
                  <c:v>2.3374951098690082</c:v>
                </c:pt>
                <c:pt idx="4">
                  <c:v>1.7341411329654211</c:v>
                </c:pt>
                <c:pt idx="5">
                  <c:v>1.7208330555139759</c:v>
                </c:pt>
                <c:pt idx="6">
                  <c:v>1.7249374891091969</c:v>
                </c:pt>
                <c:pt idx="7">
                  <c:v>2.3180827315757204</c:v>
                </c:pt>
                <c:pt idx="8">
                  <c:v>2.1237566258441252</c:v>
                </c:pt>
                <c:pt idx="9">
                  <c:v>2.2862493724163273</c:v>
                </c:pt>
                <c:pt idx="10">
                  <c:v>2.1382044733881833</c:v>
                </c:pt>
                <c:pt idx="11">
                  <c:v>2.0905542222787479</c:v>
                </c:pt>
              </c:numCache>
            </c:numRef>
          </c:val>
          <c:smooth val="0"/>
        </c:ser>
        <c:ser>
          <c:idx val="2"/>
          <c:order val="2"/>
          <c:tx>
            <c:strRef>
              <c:f>'Parnervalstu svērtā izaugsme'!$C$9</c:f>
              <c:strCache>
                <c:ptCount val="1"/>
                <c:pt idx="0">
                  <c:v>Latvija</c:v>
                </c:pt>
              </c:strCache>
            </c:strRef>
          </c:tx>
          <c:spPr>
            <a:ln w="28575" cap="rnd">
              <a:solidFill>
                <a:srgbClr val="C00000"/>
              </a:solidFill>
              <a:round/>
            </a:ln>
            <a:effectLst/>
          </c:spPr>
          <c:marker>
            <c:symbol val="none"/>
          </c:marker>
          <c:cat>
            <c:multiLvlStrRef>
              <c:f>'Parnervalstu svērtā izaugsme'!$A$14:$B$28</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2015</c:v>
                  </c:pt>
                  <c:pt idx="13">
                    <c:v>2016</c:v>
                  </c:pt>
                </c:lvl>
                <c:lvl>
                  <c:pt idx="0">
                    <c:v>2012</c:v>
                  </c:pt>
                  <c:pt idx="4">
                    <c:v>2013</c:v>
                  </c:pt>
                  <c:pt idx="8">
                    <c:v>2014</c:v>
                  </c:pt>
                  <c:pt idx="12">
                    <c:v>Prognoze**</c:v>
                  </c:pt>
                  <c:pt idx="14">
                    <c:v>2015</c:v>
                  </c:pt>
                </c:lvl>
              </c:multiLvlStrCache>
            </c:multiLvlStrRef>
          </c:cat>
          <c:val>
            <c:numRef>
              <c:f>'Parnervalstu svērtā izaugsme'!$C$14:$C$25</c:f>
              <c:numCache>
                <c:formatCode>#,##0.0</c:formatCode>
                <c:ptCount val="12"/>
                <c:pt idx="0">
                  <c:v>8.8000000000000007</c:v>
                </c:pt>
                <c:pt idx="1">
                  <c:v>4.3</c:v>
                </c:pt>
                <c:pt idx="2">
                  <c:v>3.7</c:v>
                </c:pt>
                <c:pt idx="3">
                  <c:v>3.4</c:v>
                </c:pt>
                <c:pt idx="4">
                  <c:v>3.1</c:v>
                </c:pt>
                <c:pt idx="5">
                  <c:v>4.5999999999999996</c:v>
                </c:pt>
                <c:pt idx="6">
                  <c:v>4.5999999999999996</c:v>
                </c:pt>
                <c:pt idx="7">
                  <c:v>4.5</c:v>
                </c:pt>
                <c:pt idx="8">
                  <c:v>2.8</c:v>
                </c:pt>
                <c:pt idx="9">
                  <c:v>2.2999999999999998</c:v>
                </c:pt>
                <c:pt idx="10">
                  <c:v>2.4</c:v>
                </c:pt>
                <c:pt idx="11">
                  <c:v>2.1</c:v>
                </c:pt>
              </c:numCache>
            </c:numRef>
          </c:val>
          <c:smooth val="0"/>
        </c:ser>
        <c:dLbls>
          <c:showLegendKey val="0"/>
          <c:showVal val="0"/>
          <c:showCatName val="0"/>
          <c:showSerName val="0"/>
          <c:showPercent val="0"/>
          <c:showBubbleSize val="0"/>
        </c:dLbls>
        <c:marker val="1"/>
        <c:smooth val="0"/>
        <c:axId val="51559424"/>
        <c:axId val="51569408"/>
      </c:lineChart>
      <c:catAx>
        <c:axId val="51559424"/>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1569408"/>
        <c:crosses val="autoZero"/>
        <c:auto val="1"/>
        <c:lblAlgn val="ctr"/>
        <c:lblOffset val="100"/>
        <c:noMultiLvlLbl val="0"/>
      </c:catAx>
      <c:valAx>
        <c:axId val="5156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1559424"/>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b="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38805852861201E-2"/>
          <c:y val="9.2509899677174504E-2"/>
          <c:w val="0.69176608923884519"/>
          <c:h val="0.72625516870463203"/>
        </c:manualLayout>
      </c:layout>
      <c:barChart>
        <c:barDir val="col"/>
        <c:grouping val="stacked"/>
        <c:varyColors val="0"/>
        <c:ser>
          <c:idx val="0"/>
          <c:order val="0"/>
          <c:tx>
            <c:strRef>
              <c:f>Sheet1!$A$3</c:f>
              <c:strCache>
                <c:ptCount val="1"/>
                <c:pt idx="0">
                  <c:v>Strukturālā bilance</c:v>
                </c:pt>
              </c:strCache>
            </c:strRef>
          </c:tx>
          <c:spPr>
            <a:solidFill>
              <a:schemeClr val="accent1"/>
            </a:solidFill>
            <a:ln>
              <a:noFill/>
            </a:ln>
            <a:effectLst/>
          </c:spPr>
          <c:invertIfNegative val="0"/>
          <c:cat>
            <c:multiLvlStrRef>
              <c:f>Sheet1!$F$1:$M$2</c:f>
              <c:multiLvlStrCache>
                <c:ptCount val="8"/>
                <c:lvl>
                  <c:pt idx="0">
                    <c:v>2011</c:v>
                  </c:pt>
                  <c:pt idx="1">
                    <c:v>2012</c:v>
                  </c:pt>
                  <c:pt idx="2">
                    <c:v>2013</c:v>
                  </c:pt>
                  <c:pt idx="3">
                    <c:v>2014</c:v>
                  </c:pt>
                  <c:pt idx="4">
                    <c:v>2015</c:v>
                  </c:pt>
                  <c:pt idx="5">
                    <c:v>2016</c:v>
                  </c:pt>
                  <c:pt idx="6">
                    <c:v>2017</c:v>
                  </c:pt>
                  <c:pt idx="7">
                    <c:v>2018</c:v>
                  </c:pt>
                </c:lvl>
                <c:lvl>
                  <c:pt idx="0">
                    <c:v>Fakts</c:v>
                  </c:pt>
                  <c:pt idx="3">
                    <c:v>Prognoze</c:v>
                  </c:pt>
                </c:lvl>
              </c:multiLvlStrCache>
            </c:multiLvlStrRef>
          </c:cat>
          <c:val>
            <c:numRef>
              <c:f>Sheet1!$F$3:$M$3</c:f>
              <c:numCache>
                <c:formatCode>#,##0.0_ ;\-#,##0.0\ </c:formatCode>
                <c:ptCount val="8"/>
                <c:pt idx="0">
                  <c:v>-1.9655366749203178</c:v>
                </c:pt>
                <c:pt idx="1">
                  <c:v>-0.49396626822220779</c:v>
                </c:pt>
                <c:pt idx="2">
                  <c:v>-1.150157479344275</c:v>
                </c:pt>
                <c:pt idx="3">
                  <c:v>-1.2434737025214448</c:v>
                </c:pt>
                <c:pt idx="4">
                  <c:v>-1.4065595707947787</c:v>
                </c:pt>
                <c:pt idx="5">
                  <c:v>-0.99599999999999733</c:v>
                </c:pt>
                <c:pt idx="6">
                  <c:v>-0.88940713820280681</c:v>
                </c:pt>
                <c:pt idx="7">
                  <c:v>-1.1999999999999995</c:v>
                </c:pt>
              </c:numCache>
            </c:numRef>
          </c:val>
        </c:ser>
        <c:ser>
          <c:idx val="1"/>
          <c:order val="1"/>
          <c:tx>
            <c:strRef>
              <c:f>Sheet1!$A$4</c:f>
              <c:strCache>
                <c:ptCount val="1"/>
                <c:pt idx="0">
                  <c:v>Cikliskā komponente</c:v>
                </c:pt>
              </c:strCache>
            </c:strRef>
          </c:tx>
          <c:spPr>
            <a:solidFill>
              <a:schemeClr val="accent2"/>
            </a:solidFill>
            <a:ln>
              <a:noFill/>
            </a:ln>
            <a:effectLst/>
          </c:spPr>
          <c:invertIfNegative val="0"/>
          <c:cat>
            <c:multiLvlStrRef>
              <c:f>Sheet1!$F$1:$M$2</c:f>
              <c:multiLvlStrCache>
                <c:ptCount val="8"/>
                <c:lvl>
                  <c:pt idx="0">
                    <c:v>2011</c:v>
                  </c:pt>
                  <c:pt idx="1">
                    <c:v>2012</c:v>
                  </c:pt>
                  <c:pt idx="2">
                    <c:v>2013</c:v>
                  </c:pt>
                  <c:pt idx="3">
                    <c:v>2014</c:v>
                  </c:pt>
                  <c:pt idx="4">
                    <c:v>2015</c:v>
                  </c:pt>
                  <c:pt idx="5">
                    <c:v>2016</c:v>
                  </c:pt>
                  <c:pt idx="6">
                    <c:v>2017</c:v>
                  </c:pt>
                  <c:pt idx="7">
                    <c:v>2018</c:v>
                  </c:pt>
                </c:lvl>
                <c:lvl>
                  <c:pt idx="0">
                    <c:v>Fakts</c:v>
                  </c:pt>
                  <c:pt idx="3">
                    <c:v>Prognoze</c:v>
                  </c:pt>
                </c:lvl>
              </c:multiLvlStrCache>
            </c:multiLvlStrRef>
          </c:cat>
          <c:val>
            <c:numRef>
              <c:f>Sheet1!$F$4:$M$4</c:f>
              <c:numCache>
                <c:formatCode>#,##0.0_ ;\-#,##0.0\ </c:formatCode>
                <c:ptCount val="8"/>
                <c:pt idx="0">
                  <c:v>-1.4635000524273851</c:v>
                </c:pt>
                <c:pt idx="1">
                  <c:v>-0.34890629219551439</c:v>
                </c:pt>
                <c:pt idx="2">
                  <c:v>0.29045213110506413</c:v>
                </c:pt>
                <c:pt idx="3">
                  <c:v>0.20323998987503553</c:v>
                </c:pt>
                <c:pt idx="4">
                  <c:v>-5.0602686258753304E-2</c:v>
                </c:pt>
                <c:pt idx="5">
                  <c:v>-9.5901405436253501E-2</c:v>
                </c:pt>
                <c:pt idx="6">
                  <c:v>9.8132047860655515E-4</c:v>
                </c:pt>
                <c:pt idx="7">
                  <c:v>1.2633818737948003E-2</c:v>
                </c:pt>
              </c:numCache>
            </c:numRef>
          </c:val>
        </c:ser>
        <c:ser>
          <c:idx val="2"/>
          <c:order val="2"/>
          <c:tx>
            <c:strRef>
              <c:f>Sheet1!$A$5</c:f>
              <c:strCache>
                <c:ptCount val="1"/>
                <c:pt idx="0">
                  <c:v>One-off</c:v>
                </c:pt>
              </c:strCache>
            </c:strRef>
          </c:tx>
          <c:spPr>
            <a:solidFill>
              <a:schemeClr val="accent3"/>
            </a:solidFill>
            <a:ln>
              <a:noFill/>
            </a:ln>
            <a:effectLst/>
          </c:spPr>
          <c:invertIfNegative val="0"/>
          <c:cat>
            <c:multiLvlStrRef>
              <c:f>Sheet1!$F$1:$M$2</c:f>
              <c:multiLvlStrCache>
                <c:ptCount val="8"/>
                <c:lvl>
                  <c:pt idx="0">
                    <c:v>2011</c:v>
                  </c:pt>
                  <c:pt idx="1">
                    <c:v>2012</c:v>
                  </c:pt>
                  <c:pt idx="2">
                    <c:v>2013</c:v>
                  </c:pt>
                  <c:pt idx="3">
                    <c:v>2014</c:v>
                  </c:pt>
                  <c:pt idx="4">
                    <c:v>2015</c:v>
                  </c:pt>
                  <c:pt idx="5">
                    <c:v>2016</c:v>
                  </c:pt>
                  <c:pt idx="6">
                    <c:v>2017</c:v>
                  </c:pt>
                  <c:pt idx="7">
                    <c:v>2018</c:v>
                  </c:pt>
                </c:lvl>
                <c:lvl>
                  <c:pt idx="0">
                    <c:v>Fakts</c:v>
                  </c:pt>
                  <c:pt idx="3">
                    <c:v>Prognoze</c:v>
                  </c:pt>
                </c:lvl>
              </c:multiLvlStrCache>
            </c:multiLvlStrRef>
          </c:cat>
          <c:val>
            <c:numRef>
              <c:f>Sheet1!$F$5:$M$5</c:f>
              <c:numCache>
                <c:formatCode>General</c:formatCode>
                <c:ptCount val="8"/>
                <c:pt idx="3" formatCode="#,##0.0_ ;\-#,##0.0\ ">
                  <c:v>-0.37201607774512535</c:v>
                </c:pt>
                <c:pt idx="5" formatCode="#,##0.0_ ;\-#,##0.0\ ">
                  <c:v>-0.3</c:v>
                </c:pt>
                <c:pt idx="6" formatCode="#,##0.0_ ;\-#,##0.0\ ">
                  <c:v>-0.4</c:v>
                </c:pt>
                <c:pt idx="7" formatCode="#,##0.0_ ;\-#,##0.0\ ">
                  <c:v>-0.5</c:v>
                </c:pt>
              </c:numCache>
            </c:numRef>
          </c:val>
        </c:ser>
        <c:dLbls>
          <c:showLegendKey val="0"/>
          <c:showVal val="0"/>
          <c:showCatName val="0"/>
          <c:showSerName val="0"/>
          <c:showPercent val="0"/>
          <c:showBubbleSize val="0"/>
        </c:dLbls>
        <c:gapWidth val="150"/>
        <c:overlap val="100"/>
        <c:axId val="80047104"/>
        <c:axId val="80048896"/>
      </c:barChart>
      <c:lineChart>
        <c:grouping val="standard"/>
        <c:varyColors val="0"/>
        <c:ser>
          <c:idx val="3"/>
          <c:order val="3"/>
          <c:tx>
            <c:strRef>
              <c:f>Sheet1!$A$6</c:f>
              <c:strCache>
                <c:ptCount val="1"/>
                <c:pt idx="0">
                  <c:v>Vispārējās valdības budžeta bilance</c:v>
                </c:pt>
              </c:strCache>
            </c:strRef>
          </c:tx>
          <c:spPr>
            <a:ln w="28575" cap="rnd">
              <a:solidFill>
                <a:schemeClr val="accent1">
                  <a:lumMod val="50000"/>
                </a:schemeClr>
              </a:solidFill>
              <a:round/>
            </a:ln>
            <a:effectLst/>
          </c:spPr>
          <c:marker>
            <c:symbol val="none"/>
          </c:marker>
          <c:cat>
            <c:multiLvlStrRef>
              <c:f>Sheet1!$F$1:$M$2</c:f>
              <c:multiLvlStrCache>
                <c:ptCount val="8"/>
                <c:lvl>
                  <c:pt idx="0">
                    <c:v>2011</c:v>
                  </c:pt>
                  <c:pt idx="1">
                    <c:v>2012</c:v>
                  </c:pt>
                  <c:pt idx="2">
                    <c:v>2013</c:v>
                  </c:pt>
                  <c:pt idx="3">
                    <c:v>2014</c:v>
                  </c:pt>
                  <c:pt idx="4">
                    <c:v>2015</c:v>
                  </c:pt>
                  <c:pt idx="5">
                    <c:v>2016</c:v>
                  </c:pt>
                  <c:pt idx="6">
                    <c:v>2017</c:v>
                  </c:pt>
                  <c:pt idx="7">
                    <c:v>2018</c:v>
                  </c:pt>
                </c:lvl>
                <c:lvl>
                  <c:pt idx="0">
                    <c:v>Fakts</c:v>
                  </c:pt>
                  <c:pt idx="3">
                    <c:v>Prognoze</c:v>
                  </c:pt>
                </c:lvl>
              </c:multiLvlStrCache>
            </c:multiLvlStrRef>
          </c:cat>
          <c:val>
            <c:numRef>
              <c:f>Sheet1!$F$6:$M$6</c:f>
              <c:numCache>
                <c:formatCode>#,##0.0_ ;\-#,##0.0\ </c:formatCode>
                <c:ptCount val="8"/>
                <c:pt idx="0">
                  <c:v>-3.4290367273477029</c:v>
                </c:pt>
                <c:pt idx="1">
                  <c:v>-0.84287256041772218</c:v>
                </c:pt>
                <c:pt idx="2">
                  <c:v>-0.85970534823921096</c:v>
                </c:pt>
                <c:pt idx="3">
                  <c:v>-1.4122497903915348</c:v>
                </c:pt>
                <c:pt idx="4">
                  <c:v>-1.4571622570535321</c:v>
                </c:pt>
                <c:pt idx="5">
                  <c:v>-1.3919014054362508</c:v>
                </c:pt>
                <c:pt idx="6">
                  <c:v>-1.2884258177242003</c:v>
                </c:pt>
                <c:pt idx="7">
                  <c:v>-1.6873661812620515</c:v>
                </c:pt>
              </c:numCache>
            </c:numRef>
          </c:val>
          <c:smooth val="0"/>
        </c:ser>
        <c:dLbls>
          <c:showLegendKey val="0"/>
          <c:showVal val="0"/>
          <c:showCatName val="0"/>
          <c:showSerName val="0"/>
          <c:showPercent val="0"/>
          <c:showBubbleSize val="0"/>
        </c:dLbls>
        <c:marker val="1"/>
        <c:smooth val="0"/>
        <c:axId val="80047104"/>
        <c:axId val="80048896"/>
      </c:lineChart>
      <c:catAx>
        <c:axId val="800471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0048896"/>
        <c:crosses val="autoZero"/>
        <c:auto val="1"/>
        <c:lblAlgn val="ctr"/>
        <c:lblOffset val="100"/>
        <c:noMultiLvlLbl val="0"/>
      </c:catAx>
      <c:valAx>
        <c:axId val="80048896"/>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0047104"/>
        <c:crosses val="autoZero"/>
        <c:crossBetween val="between"/>
      </c:valAx>
      <c:spPr>
        <a:noFill/>
        <a:ln>
          <a:noFill/>
        </a:ln>
        <a:effectLst/>
      </c:spPr>
    </c:plotArea>
    <c:legend>
      <c:legendPos val="b"/>
      <c:layout>
        <c:manualLayout>
          <c:xMode val="edge"/>
          <c:yMode val="edge"/>
          <c:x val="0.77457684960006334"/>
          <c:y val="4.6012847615837897E-2"/>
          <c:w val="0.22241143971936547"/>
          <c:h val="0.933234882604654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69724567561585"/>
          <c:y val="5.4862842892768077E-2"/>
          <c:w val="0.5140350377889511"/>
          <c:h val="0.84482180375832072"/>
        </c:manualLayout>
      </c:layout>
      <c:barChart>
        <c:barDir val="bar"/>
        <c:grouping val="clustered"/>
        <c:varyColors val="0"/>
        <c:ser>
          <c:idx val="0"/>
          <c:order val="0"/>
          <c:tx>
            <c:strRef>
              <c:f>Sheet1!$F$5</c:f>
              <c:strCache>
                <c:ptCount val="1"/>
                <c:pt idx="0">
                  <c:v>Parāds (izmaksas-atmaksas)</c:v>
                </c:pt>
              </c:strCache>
            </c:strRef>
          </c:tx>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Sheet1!$E$6:$E$10</c:f>
              <c:numCache>
                <c:formatCode>General</c:formatCode>
                <c:ptCount val="5"/>
                <c:pt idx="0">
                  <c:v>2014</c:v>
                </c:pt>
                <c:pt idx="1">
                  <c:v>2013</c:v>
                </c:pt>
                <c:pt idx="2">
                  <c:v>2012</c:v>
                </c:pt>
                <c:pt idx="3">
                  <c:v>2011</c:v>
                </c:pt>
                <c:pt idx="4">
                  <c:v>2010</c:v>
                </c:pt>
              </c:numCache>
            </c:numRef>
          </c:cat>
          <c:val>
            <c:numRef>
              <c:f>Sheet1!$F$6:$F$10</c:f>
              <c:numCache>
                <c:formatCode>#,##0</c:formatCode>
                <c:ptCount val="5"/>
                <c:pt idx="0">
                  <c:v>593</c:v>
                </c:pt>
                <c:pt idx="1">
                  <c:v>663</c:v>
                </c:pt>
                <c:pt idx="2">
                  <c:v>757</c:v>
                </c:pt>
                <c:pt idx="3">
                  <c:v>709</c:v>
                </c:pt>
                <c:pt idx="4">
                  <c:v>849</c:v>
                </c:pt>
              </c:numCache>
            </c:numRef>
          </c:val>
        </c:ser>
        <c:ser>
          <c:idx val="1"/>
          <c:order val="1"/>
          <c:tx>
            <c:strRef>
              <c:f>Sheet1!$G$5</c:f>
              <c:strCache>
                <c:ptCount val="1"/>
                <c:pt idx="0">
                  <c:v>Galvoto aizdevumu līgumu kopsumma</c:v>
                </c:pt>
              </c:strCache>
            </c:strRef>
          </c:tx>
          <c:spPr>
            <a:solidFill>
              <a:srgbClr val="993366"/>
            </a:solidFill>
          </c:spPr>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Sheet1!$E$6:$E$10</c:f>
              <c:numCache>
                <c:formatCode>General</c:formatCode>
                <c:ptCount val="5"/>
                <c:pt idx="0">
                  <c:v>2014</c:v>
                </c:pt>
                <c:pt idx="1">
                  <c:v>2013</c:v>
                </c:pt>
                <c:pt idx="2">
                  <c:v>2012</c:v>
                </c:pt>
                <c:pt idx="3">
                  <c:v>2011</c:v>
                </c:pt>
                <c:pt idx="4">
                  <c:v>2010</c:v>
                </c:pt>
              </c:numCache>
            </c:numRef>
          </c:cat>
          <c:val>
            <c:numRef>
              <c:f>Sheet1!$G$6:$G$10</c:f>
              <c:numCache>
                <c:formatCode>#,##0</c:formatCode>
                <c:ptCount val="5"/>
                <c:pt idx="0">
                  <c:v>1097</c:v>
                </c:pt>
                <c:pt idx="1">
                  <c:v>1086</c:v>
                </c:pt>
                <c:pt idx="2">
                  <c:v>1170</c:v>
                </c:pt>
                <c:pt idx="3">
                  <c:v>1161</c:v>
                </c:pt>
                <c:pt idx="4">
                  <c:v>1591</c:v>
                </c:pt>
              </c:numCache>
            </c:numRef>
          </c:val>
        </c:ser>
        <c:dLbls>
          <c:showLegendKey val="0"/>
          <c:showVal val="0"/>
          <c:showCatName val="0"/>
          <c:showSerName val="0"/>
          <c:showPercent val="0"/>
          <c:showBubbleSize val="0"/>
        </c:dLbls>
        <c:gapWidth val="150"/>
        <c:axId val="81134336"/>
        <c:axId val="81135872"/>
      </c:barChart>
      <c:catAx>
        <c:axId val="81134336"/>
        <c:scaling>
          <c:orientation val="minMax"/>
        </c:scaling>
        <c:delete val="0"/>
        <c:axPos val="l"/>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lv-LV"/>
          </a:p>
        </c:txPr>
        <c:crossAx val="81135872"/>
        <c:crosses val="autoZero"/>
        <c:auto val="1"/>
        <c:lblAlgn val="ctr"/>
        <c:lblOffset val="100"/>
        <c:noMultiLvlLbl val="0"/>
      </c:catAx>
      <c:valAx>
        <c:axId val="81135872"/>
        <c:scaling>
          <c:orientation val="minMax"/>
        </c:scaling>
        <c:delete val="0"/>
        <c:axPos val="b"/>
        <c:majorGridlines>
          <c:spPr>
            <a:ln>
              <a:noFill/>
            </a:ln>
          </c:spPr>
        </c:majorGridlines>
        <c:numFmt formatCode="#,##0" sourceLinked="1"/>
        <c:majorTickMark val="out"/>
        <c:minorTickMark val="none"/>
        <c:tickLblPos val="nextTo"/>
        <c:txPr>
          <a:bodyPr/>
          <a:lstStyle/>
          <a:p>
            <a:pPr>
              <a:defRPr sz="800" baseline="0">
                <a:latin typeface="Times New Roman" panose="02020603050405020304" pitchFamily="18" charset="0"/>
                <a:cs typeface="Times New Roman" panose="02020603050405020304" pitchFamily="18" charset="0"/>
              </a:defRPr>
            </a:pPr>
            <a:endParaRPr lang="lv-LV"/>
          </a:p>
        </c:txPr>
        <c:crossAx val="81134336"/>
        <c:crosses val="autoZero"/>
        <c:crossBetween val="between"/>
      </c:valAx>
      <c:spPr>
        <a:noFill/>
        <a:ln>
          <a:noFill/>
        </a:ln>
      </c:spPr>
    </c:plotArea>
    <c:legend>
      <c:legendPos val="r"/>
      <c:layout>
        <c:manualLayout>
          <c:xMode val="edge"/>
          <c:yMode val="edge"/>
          <c:x val="0.68453477690288711"/>
          <c:y val="0.25788954227794308"/>
          <c:w val="0.25435411198600177"/>
          <c:h val="0.4480460755592458"/>
        </c:manualLayout>
      </c:layout>
      <c:overlay val="0"/>
      <c:txPr>
        <a:bodyPr/>
        <a:lstStyle/>
        <a:p>
          <a:pPr>
            <a:defRPr sz="9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Sheet!$U$46</c:f>
              <c:strCache>
                <c:ptCount val="1"/>
                <c:pt idx="0">
                  <c:v>Preces</c:v>
                </c:pt>
              </c:strCache>
            </c:strRef>
          </c:tx>
          <c:spPr>
            <a:solidFill>
              <a:schemeClr val="accent6">
                <a:lumMod val="60000"/>
                <a:lumOff val="40000"/>
              </a:schemeClr>
            </a:solidFill>
            <a:ln>
              <a:solidFill>
                <a:schemeClr val="tx1"/>
              </a:solidFill>
            </a:ln>
            <a:effectLst/>
          </c:spPr>
          <c:invertIfNegative val="0"/>
          <c:dPt>
            <c:idx val="0"/>
            <c:invertIfNegative val="0"/>
            <c:bubble3D val="0"/>
            <c:spPr>
              <a:solidFill>
                <a:schemeClr val="accent6">
                  <a:lumMod val="60000"/>
                  <a:lumOff val="40000"/>
                </a:schemeClr>
              </a:solidFill>
              <a:ln>
                <a:solidFill>
                  <a:schemeClr val="tx1"/>
                </a:solidFill>
              </a:ln>
              <a:effectLst/>
            </c:spPr>
          </c:dPt>
          <c:cat>
            <c:numRef>
              <c:f>Sheet!$V$45:$AC$45</c:f>
              <c:numCache>
                <c:formatCode>General</c:formatCode>
                <c:ptCount val="8"/>
                <c:pt idx="0">
                  <c:v>2007</c:v>
                </c:pt>
                <c:pt idx="1">
                  <c:v>2008</c:v>
                </c:pt>
                <c:pt idx="2">
                  <c:v>2009</c:v>
                </c:pt>
                <c:pt idx="3">
                  <c:v>2010</c:v>
                </c:pt>
                <c:pt idx="4">
                  <c:v>2011</c:v>
                </c:pt>
                <c:pt idx="5">
                  <c:v>2012</c:v>
                </c:pt>
                <c:pt idx="6">
                  <c:v>2013</c:v>
                </c:pt>
                <c:pt idx="7">
                  <c:v>2014</c:v>
                </c:pt>
              </c:numCache>
            </c:numRef>
          </c:cat>
          <c:val>
            <c:numRef>
              <c:f>Sheet!$V$46:$AC$46</c:f>
              <c:numCache>
                <c:formatCode>#,##0</c:formatCode>
                <c:ptCount val="8"/>
                <c:pt idx="0">
                  <c:v>-5155.2600000000011</c:v>
                </c:pt>
                <c:pt idx="1">
                  <c:v>-4199.0400000000009</c:v>
                </c:pt>
                <c:pt idx="2">
                  <c:v>-1524.0799999999997</c:v>
                </c:pt>
                <c:pt idx="3">
                  <c:v>-1488.3700000000001</c:v>
                </c:pt>
                <c:pt idx="4">
                  <c:v>-2442.27</c:v>
                </c:pt>
                <c:pt idx="5">
                  <c:v>-2562.4099999999994</c:v>
                </c:pt>
                <c:pt idx="6">
                  <c:v>-2540.7000000000003</c:v>
                </c:pt>
                <c:pt idx="7">
                  <c:v>-2436.7300000000005</c:v>
                </c:pt>
              </c:numCache>
            </c:numRef>
          </c:val>
        </c:ser>
        <c:ser>
          <c:idx val="1"/>
          <c:order val="1"/>
          <c:tx>
            <c:strRef>
              <c:f>Sheet!$U$47</c:f>
              <c:strCache>
                <c:ptCount val="1"/>
                <c:pt idx="0">
                  <c:v>Pakalpojumi</c:v>
                </c:pt>
              </c:strCache>
            </c:strRef>
          </c:tx>
          <c:spPr>
            <a:solidFill>
              <a:srgbClr val="C00000"/>
            </a:solidFill>
            <a:ln>
              <a:solidFill>
                <a:schemeClr val="tx1"/>
              </a:solidFill>
            </a:ln>
            <a:effectLst/>
          </c:spPr>
          <c:invertIfNegative val="0"/>
          <c:cat>
            <c:numRef>
              <c:f>Sheet!$V$45:$AC$45</c:f>
              <c:numCache>
                <c:formatCode>General</c:formatCode>
                <c:ptCount val="8"/>
                <c:pt idx="0">
                  <c:v>2007</c:v>
                </c:pt>
                <c:pt idx="1">
                  <c:v>2008</c:v>
                </c:pt>
                <c:pt idx="2">
                  <c:v>2009</c:v>
                </c:pt>
                <c:pt idx="3">
                  <c:v>2010</c:v>
                </c:pt>
                <c:pt idx="4">
                  <c:v>2011</c:v>
                </c:pt>
                <c:pt idx="5">
                  <c:v>2012</c:v>
                </c:pt>
                <c:pt idx="6">
                  <c:v>2013</c:v>
                </c:pt>
                <c:pt idx="7">
                  <c:v>2014</c:v>
                </c:pt>
              </c:numCache>
            </c:numRef>
          </c:cat>
          <c:val>
            <c:numRef>
              <c:f>Sheet!$V$47:$AC$47</c:f>
              <c:numCache>
                <c:formatCode>#,##0</c:formatCode>
                <c:ptCount val="8"/>
                <c:pt idx="0">
                  <c:v>1131.8</c:v>
                </c:pt>
                <c:pt idx="1">
                  <c:v>1395.01</c:v>
                </c:pt>
                <c:pt idx="2">
                  <c:v>1430.3500000000001</c:v>
                </c:pt>
                <c:pt idx="3">
                  <c:v>1301</c:v>
                </c:pt>
                <c:pt idx="4">
                  <c:v>1480.4199999999998</c:v>
                </c:pt>
                <c:pt idx="5">
                  <c:v>1622.3500000000001</c:v>
                </c:pt>
                <c:pt idx="6">
                  <c:v>1773.1899999999998</c:v>
                </c:pt>
                <c:pt idx="7">
                  <c:v>1748.2599999999998</c:v>
                </c:pt>
              </c:numCache>
            </c:numRef>
          </c:val>
        </c:ser>
        <c:ser>
          <c:idx val="2"/>
          <c:order val="2"/>
          <c:tx>
            <c:strRef>
              <c:f>Sheet!$U$48</c:f>
              <c:strCache>
                <c:ptCount val="1"/>
                <c:pt idx="0">
                  <c:v>Sākotnējie ienākumi</c:v>
                </c:pt>
              </c:strCache>
            </c:strRef>
          </c:tx>
          <c:spPr>
            <a:solidFill>
              <a:schemeClr val="accent1">
                <a:lumMod val="75000"/>
              </a:schemeClr>
            </a:solidFill>
            <a:ln>
              <a:solidFill>
                <a:schemeClr val="tx1"/>
              </a:solidFill>
            </a:ln>
            <a:effectLst/>
          </c:spPr>
          <c:invertIfNegative val="0"/>
          <c:cat>
            <c:numRef>
              <c:f>Sheet!$V$45:$AC$45</c:f>
              <c:numCache>
                <c:formatCode>General</c:formatCode>
                <c:ptCount val="8"/>
                <c:pt idx="0">
                  <c:v>2007</c:v>
                </c:pt>
                <c:pt idx="1">
                  <c:v>2008</c:v>
                </c:pt>
                <c:pt idx="2">
                  <c:v>2009</c:v>
                </c:pt>
                <c:pt idx="3">
                  <c:v>2010</c:v>
                </c:pt>
                <c:pt idx="4">
                  <c:v>2011</c:v>
                </c:pt>
                <c:pt idx="5">
                  <c:v>2012</c:v>
                </c:pt>
                <c:pt idx="6">
                  <c:v>2013</c:v>
                </c:pt>
                <c:pt idx="7">
                  <c:v>2014</c:v>
                </c:pt>
              </c:numCache>
            </c:numRef>
          </c:cat>
          <c:val>
            <c:numRef>
              <c:f>Sheet!$V$48:$AC$48</c:f>
              <c:numCache>
                <c:formatCode>#,##0</c:formatCode>
                <c:ptCount val="8"/>
                <c:pt idx="0">
                  <c:v>-864.80000000000018</c:v>
                </c:pt>
                <c:pt idx="1">
                  <c:v>-566.24000000000012</c:v>
                </c:pt>
                <c:pt idx="2">
                  <c:v>1152.6400000000001</c:v>
                </c:pt>
                <c:pt idx="3">
                  <c:v>188.48000000000002</c:v>
                </c:pt>
                <c:pt idx="4">
                  <c:v>-2.5399999999999832</c:v>
                </c:pt>
                <c:pt idx="5">
                  <c:v>-129.10000000000014</c:v>
                </c:pt>
                <c:pt idx="6">
                  <c:v>-74.21999999999997</c:v>
                </c:pt>
                <c:pt idx="7">
                  <c:v>-192.39999999999992</c:v>
                </c:pt>
              </c:numCache>
            </c:numRef>
          </c:val>
        </c:ser>
        <c:ser>
          <c:idx val="3"/>
          <c:order val="3"/>
          <c:tx>
            <c:strRef>
              <c:f>Sheet!$U$49</c:f>
              <c:strCache>
                <c:ptCount val="1"/>
                <c:pt idx="0">
                  <c:v>Otrreizējie ienākumi</c:v>
                </c:pt>
              </c:strCache>
            </c:strRef>
          </c:tx>
          <c:spPr>
            <a:solidFill>
              <a:schemeClr val="accent4"/>
            </a:solidFill>
            <a:ln>
              <a:solidFill>
                <a:schemeClr val="tx1"/>
              </a:solidFill>
            </a:ln>
            <a:effectLst/>
          </c:spPr>
          <c:invertIfNegative val="0"/>
          <c:cat>
            <c:numRef>
              <c:f>Sheet!$V$45:$AC$45</c:f>
              <c:numCache>
                <c:formatCode>General</c:formatCode>
                <c:ptCount val="8"/>
                <c:pt idx="0">
                  <c:v>2007</c:v>
                </c:pt>
                <c:pt idx="1">
                  <c:v>2008</c:v>
                </c:pt>
                <c:pt idx="2">
                  <c:v>2009</c:v>
                </c:pt>
                <c:pt idx="3">
                  <c:v>2010</c:v>
                </c:pt>
                <c:pt idx="4">
                  <c:v>2011</c:v>
                </c:pt>
                <c:pt idx="5">
                  <c:v>2012</c:v>
                </c:pt>
                <c:pt idx="6">
                  <c:v>2013</c:v>
                </c:pt>
                <c:pt idx="7">
                  <c:v>2014</c:v>
                </c:pt>
              </c:numCache>
            </c:numRef>
          </c:cat>
          <c:val>
            <c:numRef>
              <c:f>Sheet!$V$49:$AC$49</c:f>
              <c:numCache>
                <c:formatCode>#,##0</c:formatCode>
                <c:ptCount val="8"/>
                <c:pt idx="0">
                  <c:v>197.08999999999997</c:v>
                </c:pt>
                <c:pt idx="1">
                  <c:v>363.18999999999994</c:v>
                </c:pt>
                <c:pt idx="2">
                  <c:v>460.4</c:v>
                </c:pt>
                <c:pt idx="3">
                  <c:v>419.72</c:v>
                </c:pt>
                <c:pt idx="4">
                  <c:v>392.05</c:v>
                </c:pt>
                <c:pt idx="5">
                  <c:v>350.11999999999995</c:v>
                </c:pt>
                <c:pt idx="6">
                  <c:v>299.02</c:v>
                </c:pt>
                <c:pt idx="7">
                  <c:v>131.73000000000008</c:v>
                </c:pt>
              </c:numCache>
            </c:numRef>
          </c:val>
        </c:ser>
        <c:dLbls>
          <c:showLegendKey val="0"/>
          <c:showVal val="0"/>
          <c:showCatName val="0"/>
          <c:showSerName val="0"/>
          <c:showPercent val="0"/>
          <c:showBubbleSize val="0"/>
        </c:dLbls>
        <c:gapWidth val="219"/>
        <c:overlap val="100"/>
        <c:axId val="76133888"/>
        <c:axId val="76135808"/>
      </c:barChart>
      <c:lineChart>
        <c:grouping val="standard"/>
        <c:varyColors val="0"/>
        <c:ser>
          <c:idx val="4"/>
          <c:order val="4"/>
          <c:tx>
            <c:strRef>
              <c:f>Sheet!$U$50</c:f>
              <c:strCache>
                <c:ptCount val="1"/>
                <c:pt idx="0">
                  <c:v>Tekošais konts, % no IKP (labā ass)</c:v>
                </c:pt>
              </c:strCache>
            </c:strRef>
          </c:tx>
          <c:spPr>
            <a:ln w="19050" cap="rnd">
              <a:solidFill>
                <a:schemeClr val="tx1">
                  <a:lumMod val="65000"/>
                  <a:lumOff val="35000"/>
                </a:schemeClr>
              </a:solidFill>
              <a:prstDash val="solid"/>
              <a:round/>
            </a:ln>
            <a:effectLst/>
          </c:spPr>
          <c:marker>
            <c:symbol val="none"/>
          </c:marker>
          <c:cat>
            <c:numRef>
              <c:f>Sheet!$V$45:$AC$45</c:f>
              <c:numCache>
                <c:formatCode>General</c:formatCode>
                <c:ptCount val="8"/>
                <c:pt idx="0">
                  <c:v>2007</c:v>
                </c:pt>
                <c:pt idx="1">
                  <c:v>2008</c:v>
                </c:pt>
                <c:pt idx="2">
                  <c:v>2009</c:v>
                </c:pt>
                <c:pt idx="3">
                  <c:v>2010</c:v>
                </c:pt>
                <c:pt idx="4">
                  <c:v>2011</c:v>
                </c:pt>
                <c:pt idx="5">
                  <c:v>2012</c:v>
                </c:pt>
                <c:pt idx="6">
                  <c:v>2013</c:v>
                </c:pt>
                <c:pt idx="7">
                  <c:v>2014</c:v>
                </c:pt>
              </c:numCache>
            </c:numRef>
          </c:cat>
          <c:val>
            <c:numRef>
              <c:f>Sheet!$V$50:$AC$50</c:f>
              <c:numCache>
                <c:formatCode>General</c:formatCode>
                <c:ptCount val="8"/>
                <c:pt idx="0">
                  <c:v>-20.8</c:v>
                </c:pt>
                <c:pt idx="1">
                  <c:v>-12.3</c:v>
                </c:pt>
                <c:pt idx="2">
                  <c:v>8</c:v>
                </c:pt>
                <c:pt idx="3">
                  <c:v>2.2999999999999998</c:v>
                </c:pt>
                <c:pt idx="4">
                  <c:v>-2.8</c:v>
                </c:pt>
                <c:pt idx="5">
                  <c:v>-3.3</c:v>
                </c:pt>
                <c:pt idx="6">
                  <c:v>-2.2999999999999998</c:v>
                </c:pt>
                <c:pt idx="7">
                  <c:v>-3.1</c:v>
                </c:pt>
              </c:numCache>
            </c:numRef>
          </c:val>
          <c:smooth val="0"/>
        </c:ser>
        <c:ser>
          <c:idx val="5"/>
          <c:order val="5"/>
          <c:tx>
            <c:strRef>
              <c:f>Sheet!$U$51</c:f>
              <c:strCache>
                <c:ptCount val="1"/>
                <c:pt idx="0">
                  <c:v>ĀTI, % no IKP (labā ass)</c:v>
                </c:pt>
              </c:strCache>
            </c:strRef>
          </c:tx>
          <c:spPr>
            <a:ln w="28575" cap="rnd">
              <a:solidFill>
                <a:schemeClr val="tx1">
                  <a:lumMod val="65000"/>
                  <a:lumOff val="35000"/>
                </a:schemeClr>
              </a:solidFill>
              <a:prstDash val="sysDot"/>
              <a:round/>
            </a:ln>
            <a:effectLst/>
          </c:spPr>
          <c:marker>
            <c:spPr>
              <a:solidFill>
                <a:schemeClr val="tx1">
                  <a:lumMod val="65000"/>
                  <a:lumOff val="35000"/>
                </a:schemeClr>
              </a:solidFill>
              <a:ln>
                <a:solidFill>
                  <a:schemeClr val="tx1">
                    <a:lumMod val="65000"/>
                    <a:lumOff val="35000"/>
                  </a:schemeClr>
                </a:solidFill>
              </a:ln>
            </c:spPr>
          </c:marker>
          <c:cat>
            <c:numRef>
              <c:f>Sheet!$V$45:$AC$45</c:f>
              <c:numCache>
                <c:formatCode>General</c:formatCode>
                <c:ptCount val="8"/>
                <c:pt idx="0">
                  <c:v>2007</c:v>
                </c:pt>
                <c:pt idx="1">
                  <c:v>2008</c:v>
                </c:pt>
                <c:pt idx="2">
                  <c:v>2009</c:v>
                </c:pt>
                <c:pt idx="3">
                  <c:v>2010</c:v>
                </c:pt>
                <c:pt idx="4">
                  <c:v>2011</c:v>
                </c:pt>
                <c:pt idx="5">
                  <c:v>2012</c:v>
                </c:pt>
                <c:pt idx="6">
                  <c:v>2013</c:v>
                </c:pt>
                <c:pt idx="7">
                  <c:v>2014</c:v>
                </c:pt>
              </c:numCache>
            </c:numRef>
          </c:cat>
          <c:val>
            <c:numRef>
              <c:f>Sheet!$V$51:$AC$51</c:f>
              <c:numCache>
                <c:formatCode>#,##0.0</c:formatCode>
                <c:ptCount val="8"/>
                <c:pt idx="0">
                  <c:v>7.5</c:v>
                </c:pt>
                <c:pt idx="1">
                  <c:v>3.5</c:v>
                </c:pt>
                <c:pt idx="2">
                  <c:v>0.4</c:v>
                </c:pt>
                <c:pt idx="3">
                  <c:v>1.6</c:v>
                </c:pt>
                <c:pt idx="4">
                  <c:v>5.2</c:v>
                </c:pt>
                <c:pt idx="5">
                  <c:v>3.9</c:v>
                </c:pt>
                <c:pt idx="6">
                  <c:v>2.9</c:v>
                </c:pt>
                <c:pt idx="7">
                  <c:v>1.5</c:v>
                </c:pt>
              </c:numCache>
            </c:numRef>
          </c:val>
          <c:smooth val="0"/>
        </c:ser>
        <c:dLbls>
          <c:showLegendKey val="0"/>
          <c:showVal val="0"/>
          <c:showCatName val="0"/>
          <c:showSerName val="0"/>
          <c:showPercent val="0"/>
          <c:showBubbleSize val="0"/>
        </c:dLbls>
        <c:marker val="1"/>
        <c:smooth val="0"/>
        <c:axId val="76145792"/>
        <c:axId val="76147328"/>
      </c:lineChart>
      <c:catAx>
        <c:axId val="761338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lv-LV"/>
          </a:p>
        </c:txPr>
        <c:crossAx val="76135808"/>
        <c:crosses val="autoZero"/>
        <c:auto val="1"/>
        <c:lblAlgn val="ctr"/>
        <c:lblOffset val="100"/>
        <c:noMultiLvlLbl val="0"/>
      </c:catAx>
      <c:valAx>
        <c:axId val="76135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lv-LV"/>
          </a:p>
        </c:txPr>
        <c:crossAx val="76133888"/>
        <c:crosses val="autoZero"/>
        <c:crossBetween val="between"/>
      </c:valAx>
      <c:catAx>
        <c:axId val="76145792"/>
        <c:scaling>
          <c:orientation val="minMax"/>
        </c:scaling>
        <c:delete val="1"/>
        <c:axPos val="b"/>
        <c:numFmt formatCode="General" sourceLinked="1"/>
        <c:majorTickMark val="out"/>
        <c:minorTickMark val="none"/>
        <c:tickLblPos val="nextTo"/>
        <c:crossAx val="76147328"/>
        <c:crosses val="autoZero"/>
        <c:auto val="1"/>
        <c:lblAlgn val="ctr"/>
        <c:lblOffset val="100"/>
        <c:noMultiLvlLbl val="0"/>
      </c:catAx>
      <c:valAx>
        <c:axId val="76147328"/>
        <c:scaling>
          <c:orientation val="minMax"/>
          <c:min val="-21"/>
        </c:scaling>
        <c:delete val="0"/>
        <c:axPos val="r"/>
        <c:numFmt formatCode="General" sourceLinked="1"/>
        <c:majorTickMark val="out"/>
        <c:minorTickMark val="none"/>
        <c:tickLblPos val="nextTo"/>
        <c:spPr>
          <a:noFill/>
          <a:ln>
            <a:noFill/>
          </a:ln>
          <a:effectLst/>
        </c:spPr>
        <c:txPr>
          <a:bodyPr rot="-60000000" vert="horz"/>
          <a:lstStyle/>
          <a:p>
            <a:pPr>
              <a:defRPr/>
            </a:pPr>
            <a:endParaRPr lang="lv-LV"/>
          </a:p>
        </c:txPr>
        <c:crossAx val="76145792"/>
        <c:crosses val="max"/>
        <c:crossBetween val="between"/>
        <c:majorUnit val="3"/>
      </c:valAx>
      <c:spPr>
        <a:noFill/>
        <a:ln w="25400">
          <a:noFill/>
        </a:ln>
      </c:spPr>
    </c:plotArea>
    <c:legend>
      <c:legendPos val="b"/>
      <c:overlay val="0"/>
      <c:spPr>
        <a:noFill/>
        <a:ln>
          <a:noFill/>
        </a:ln>
        <a:effectLst/>
      </c:spPr>
      <c:txPr>
        <a:bodyPr rot="0" vert="horz"/>
        <a:lstStyle/>
        <a:p>
          <a:pPr>
            <a:defRPr sz="900"/>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PCI!$L$1</c:f>
              <c:strCache>
                <c:ptCount val="1"/>
                <c:pt idx="0">
                  <c:v>pamatinflācija</c:v>
                </c:pt>
              </c:strCache>
            </c:strRef>
          </c:tx>
          <c:spPr>
            <a:solidFill>
              <a:srgbClr val="C00000"/>
            </a:solidFill>
            <a:ln w="15875">
              <a:solidFill>
                <a:srgbClr val="C00000"/>
              </a:solidFill>
            </a:ln>
            <a:effectLst/>
          </c:spPr>
          <c:invertIfNegative val="0"/>
          <c:cat>
            <c:multiLvlStrRef>
              <c:f>PCI!$A$62:$B$135</c:f>
              <c:multiLvlStrCache>
                <c:ptCount val="7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lvl>
                <c:lvl>
                  <c:pt idx="0">
                    <c:v>2009</c:v>
                  </c:pt>
                  <c:pt idx="12">
                    <c:v>2010</c:v>
                  </c:pt>
                  <c:pt idx="24">
                    <c:v>2011</c:v>
                  </c:pt>
                  <c:pt idx="36">
                    <c:v>2012</c:v>
                  </c:pt>
                  <c:pt idx="48">
                    <c:v>2013</c:v>
                  </c:pt>
                  <c:pt idx="60">
                    <c:v>2014</c:v>
                  </c:pt>
                  <c:pt idx="72">
                    <c:v>2015</c:v>
                  </c:pt>
                </c:lvl>
              </c:multiLvlStrCache>
            </c:multiLvlStrRef>
          </c:cat>
          <c:val>
            <c:numRef>
              <c:f>PCI!$L$62:$L$135</c:f>
              <c:numCache>
                <c:formatCode>0.000</c:formatCode>
                <c:ptCount val="74"/>
                <c:pt idx="0">
                  <c:v>3.1989579271289785</c:v>
                </c:pt>
                <c:pt idx="1">
                  <c:v>1.8275971585190272</c:v>
                </c:pt>
                <c:pt idx="2">
                  <c:v>1.2641789543018884</c:v>
                </c:pt>
                <c:pt idx="3">
                  <c:v>0.53963435470069676</c:v>
                </c:pt>
                <c:pt idx="4">
                  <c:v>-0.19283497090982937</c:v>
                </c:pt>
                <c:pt idx="5">
                  <c:v>-0.78305867547567498</c:v>
                </c:pt>
                <c:pt idx="6">
                  <c:v>-0.97097385256348456</c:v>
                </c:pt>
                <c:pt idx="7">
                  <c:v>-1.6056136767009956</c:v>
                </c:pt>
                <c:pt idx="8">
                  <c:v>-2.6373113788985387</c:v>
                </c:pt>
                <c:pt idx="9">
                  <c:v>-3.0374444072596676</c:v>
                </c:pt>
                <c:pt idx="10">
                  <c:v>-3.6451143267178616</c:v>
                </c:pt>
                <c:pt idx="11">
                  <c:v>-3.8933400214320937</c:v>
                </c:pt>
                <c:pt idx="12">
                  <c:v>-2.9802448303148794</c:v>
                </c:pt>
                <c:pt idx="13">
                  <c:v>-2.85455261123515</c:v>
                </c:pt>
                <c:pt idx="14">
                  <c:v>-3.055245446830535</c:v>
                </c:pt>
                <c:pt idx="15">
                  <c:v>-2.8617262718477137</c:v>
                </c:pt>
                <c:pt idx="16">
                  <c:v>-2.6603293144512099</c:v>
                </c:pt>
                <c:pt idx="17">
                  <c:v>-2.2316592300921223</c:v>
                </c:pt>
                <c:pt idx="18">
                  <c:v>-2.0631131818482977</c:v>
                </c:pt>
                <c:pt idx="19">
                  <c:v>-1.9073599291272509</c:v>
                </c:pt>
                <c:pt idx="20">
                  <c:v>-1.3556496561248843</c:v>
                </c:pt>
                <c:pt idx="21">
                  <c:v>-0.84851190249570452</c:v>
                </c:pt>
                <c:pt idx="22">
                  <c:v>-0.2588905148681136</c:v>
                </c:pt>
                <c:pt idx="23">
                  <c:v>-0.18327623555566597</c:v>
                </c:pt>
                <c:pt idx="24">
                  <c:v>-0.23221569906666106</c:v>
                </c:pt>
                <c:pt idx="25">
                  <c:v>0.16795475336256693</c:v>
                </c:pt>
                <c:pt idx="26">
                  <c:v>0.44278884920387007</c:v>
                </c:pt>
                <c:pt idx="27">
                  <c:v>0.81758930354354042</c:v>
                </c:pt>
                <c:pt idx="28">
                  <c:v>1.1538504176328621</c:v>
                </c:pt>
                <c:pt idx="29">
                  <c:v>1.1430112377119528</c:v>
                </c:pt>
                <c:pt idx="30">
                  <c:v>0.83605353700602669</c:v>
                </c:pt>
                <c:pt idx="31">
                  <c:v>1.2310116803752664</c:v>
                </c:pt>
                <c:pt idx="32">
                  <c:v>0.90949947868702985</c:v>
                </c:pt>
                <c:pt idx="33">
                  <c:v>0.58318986093315961</c:v>
                </c:pt>
                <c:pt idx="34">
                  <c:v>0.32144784070706667</c:v>
                </c:pt>
                <c:pt idx="35">
                  <c:v>0.8953919297645081</c:v>
                </c:pt>
                <c:pt idx="36">
                  <c:v>1.1025399286447484</c:v>
                </c:pt>
                <c:pt idx="37">
                  <c:v>0.75283553879838938</c:v>
                </c:pt>
                <c:pt idx="38">
                  <c:v>0.70006534667926335</c:v>
                </c:pt>
                <c:pt idx="39">
                  <c:v>0.75882155483669722</c:v>
                </c:pt>
                <c:pt idx="40">
                  <c:v>0.5042807887152726</c:v>
                </c:pt>
                <c:pt idx="41">
                  <c:v>0.5250149278475813</c:v>
                </c:pt>
                <c:pt idx="42">
                  <c:v>0.94604690603242114</c:v>
                </c:pt>
                <c:pt idx="43">
                  <c:v>0.51205000000000001</c:v>
                </c:pt>
                <c:pt idx="44">
                  <c:v>0.43890000000000001</c:v>
                </c:pt>
                <c:pt idx="45">
                  <c:v>0.23674329875476033</c:v>
                </c:pt>
                <c:pt idx="46">
                  <c:v>0.58520000000000005</c:v>
                </c:pt>
                <c:pt idx="47">
                  <c:v>0.24072210767254887</c:v>
                </c:pt>
                <c:pt idx="48">
                  <c:v>0.14873482477826305</c:v>
                </c:pt>
                <c:pt idx="49">
                  <c:v>0.35127993369216037</c:v>
                </c:pt>
                <c:pt idx="50">
                  <c:v>0.44251789227145061</c:v>
                </c:pt>
                <c:pt idx="51">
                  <c:v>0.12330434791444761</c:v>
                </c:pt>
                <c:pt idx="52">
                  <c:v>0.12404939902377055</c:v>
                </c:pt>
                <c:pt idx="53">
                  <c:v>0.17541545444146373</c:v>
                </c:pt>
                <c:pt idx="54">
                  <c:v>-5.3226889141087218E-2</c:v>
                </c:pt>
                <c:pt idx="55">
                  <c:v>-2.9177576201974635E-2</c:v>
                </c:pt>
                <c:pt idx="56">
                  <c:v>0.14581285857661022</c:v>
                </c:pt>
                <c:pt idx="57">
                  <c:v>0.5488233147039856</c:v>
                </c:pt>
                <c:pt idx="58">
                  <c:v>9.4562309743944001E-2</c:v>
                </c:pt>
                <c:pt idx="59">
                  <c:v>5.3931978934110641E-2</c:v>
                </c:pt>
                <c:pt idx="60">
                  <c:v>0.4821958859143014</c:v>
                </c:pt>
                <c:pt idx="61">
                  <c:v>0.57083809816700892</c:v>
                </c:pt>
                <c:pt idx="62">
                  <c:v>0.51930731603166869</c:v>
                </c:pt>
                <c:pt idx="63">
                  <c:v>0.7738396437201791</c:v>
                </c:pt>
                <c:pt idx="64">
                  <c:v>0.80550931877674226</c:v>
                </c:pt>
                <c:pt idx="65">
                  <c:v>0.98052429251140638</c:v>
                </c:pt>
                <c:pt idx="66">
                  <c:v>0.87349478257318613</c:v>
                </c:pt>
                <c:pt idx="67">
                  <c:v>1.0797400811483076</c:v>
                </c:pt>
                <c:pt idx="68">
                  <c:v>1.0351073928203123</c:v>
                </c:pt>
                <c:pt idx="69">
                  <c:v>0.68437473553227646</c:v>
                </c:pt>
                <c:pt idx="70">
                  <c:v>1.1267558433159195</c:v>
                </c:pt>
                <c:pt idx="71">
                  <c:v>1.0003549428536691</c:v>
                </c:pt>
                <c:pt idx="72">
                  <c:v>0.65429999999999999</c:v>
                </c:pt>
                <c:pt idx="73">
                  <c:v>0.50889999999999991</c:v>
                </c:pt>
              </c:numCache>
            </c:numRef>
          </c:val>
        </c:ser>
        <c:ser>
          <c:idx val="1"/>
          <c:order val="1"/>
          <c:tx>
            <c:strRef>
              <c:f>PCI!$D$1</c:f>
              <c:strCache>
                <c:ptCount val="1"/>
                <c:pt idx="0">
                  <c:v>nodokļi</c:v>
                </c:pt>
              </c:strCache>
            </c:strRef>
          </c:tx>
          <c:spPr>
            <a:solidFill>
              <a:schemeClr val="accent6">
                <a:lumMod val="75000"/>
              </a:schemeClr>
            </a:solidFill>
            <a:ln w="15875">
              <a:solidFill>
                <a:schemeClr val="accent6">
                  <a:lumMod val="75000"/>
                </a:schemeClr>
              </a:solidFill>
            </a:ln>
            <a:effectLst/>
          </c:spPr>
          <c:invertIfNegative val="0"/>
          <c:cat>
            <c:multiLvlStrRef>
              <c:f>PCI!$A$62:$B$135</c:f>
              <c:multiLvlStrCache>
                <c:ptCount val="7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lvl>
                <c:lvl>
                  <c:pt idx="0">
                    <c:v>2009</c:v>
                  </c:pt>
                  <c:pt idx="12">
                    <c:v>2010</c:v>
                  </c:pt>
                  <c:pt idx="24">
                    <c:v>2011</c:v>
                  </c:pt>
                  <c:pt idx="36">
                    <c:v>2012</c:v>
                  </c:pt>
                  <c:pt idx="48">
                    <c:v>2013</c:v>
                  </c:pt>
                  <c:pt idx="60">
                    <c:v>2014</c:v>
                  </c:pt>
                  <c:pt idx="72">
                    <c:v>2015</c:v>
                  </c:pt>
                </c:lvl>
              </c:multiLvlStrCache>
            </c:multiLvlStrRef>
          </c:cat>
          <c:val>
            <c:numRef>
              <c:f>PCI!$D$62:$D$135</c:f>
              <c:numCache>
                <c:formatCode>#,##0.00</c:formatCode>
                <c:ptCount val="74"/>
                <c:pt idx="0">
                  <c:v>4.273787883874026</c:v>
                </c:pt>
                <c:pt idx="1">
                  <c:v>5.4958386658088267</c:v>
                </c:pt>
                <c:pt idx="2">
                  <c:v>5.4096218050796674</c:v>
                </c:pt>
                <c:pt idx="3">
                  <c:v>5.3374488581903412</c:v>
                </c:pt>
                <c:pt idx="4">
                  <c:v>5.2844243095700794</c:v>
                </c:pt>
                <c:pt idx="5">
                  <c:v>5.2372353187323473</c:v>
                </c:pt>
                <c:pt idx="6">
                  <c:v>5.3527719011356005</c:v>
                </c:pt>
                <c:pt idx="7">
                  <c:v>5.2317625932280176</c:v>
                </c:pt>
                <c:pt idx="8">
                  <c:v>5.1667999482577613</c:v>
                </c:pt>
                <c:pt idx="9">
                  <c:v>5.1181473960828949</c:v>
                </c:pt>
                <c:pt idx="10">
                  <c:v>5.1118632528285417</c:v>
                </c:pt>
                <c:pt idx="11">
                  <c:v>5.1214819925265997</c:v>
                </c:pt>
                <c:pt idx="12">
                  <c:v>1.4743955481212208</c:v>
                </c:pt>
                <c:pt idx="13">
                  <c:v>0.12840434537499945</c:v>
                </c:pt>
                <c:pt idx="14">
                  <c:v>0.15885303590536015</c:v>
                </c:pt>
                <c:pt idx="15">
                  <c:v>0.15362501038491683</c:v>
                </c:pt>
                <c:pt idx="16">
                  <c:v>2.7061284682328157E-2</c:v>
                </c:pt>
                <c:pt idx="17">
                  <c:v>2.7672212634721749E-2</c:v>
                </c:pt>
                <c:pt idx="18">
                  <c:v>-9.7781351703163377E-2</c:v>
                </c:pt>
                <c:pt idx="19">
                  <c:v>-5.427839908889176E-3</c:v>
                </c:pt>
                <c:pt idx="20">
                  <c:v>-4.5275491913576715E-2</c:v>
                </c:pt>
                <c:pt idx="21">
                  <c:v>-3.5471102465312043E-2</c:v>
                </c:pt>
                <c:pt idx="22">
                  <c:v>-5.650216282049314E-2</c:v>
                </c:pt>
                <c:pt idx="23">
                  <c:v>-7.4933278874866893E-2</c:v>
                </c:pt>
                <c:pt idx="24">
                  <c:v>1.2304159339607379</c:v>
                </c:pt>
                <c:pt idx="25">
                  <c:v>1.1814441802687536</c:v>
                </c:pt>
                <c:pt idx="26">
                  <c:v>1.2282632800507454</c:v>
                </c:pt>
                <c:pt idx="27">
                  <c:v>1.2582139240150614</c:v>
                </c:pt>
                <c:pt idx="28">
                  <c:v>1.3815608807900004</c:v>
                </c:pt>
                <c:pt idx="29">
                  <c:v>1.5489923608996037</c:v>
                </c:pt>
                <c:pt idx="30">
                  <c:v>1.7224995425278999</c:v>
                </c:pt>
                <c:pt idx="31">
                  <c:v>1.7346736635327265</c:v>
                </c:pt>
                <c:pt idx="32">
                  <c:v>1.7678932970511152</c:v>
                </c:pt>
                <c:pt idx="33">
                  <c:v>1.7582145591458653</c:v>
                </c:pt>
                <c:pt idx="34">
                  <c:v>1.7525143152246292</c:v>
                </c:pt>
                <c:pt idx="35">
                  <c:v>1.759879651758256</c:v>
                </c:pt>
                <c:pt idx="36">
                  <c:v>0.45790177568316714</c:v>
                </c:pt>
                <c:pt idx="37">
                  <c:v>0.47421735595629677</c:v>
                </c:pt>
                <c:pt idx="38">
                  <c:v>0.48589108472161247</c:v>
                </c:pt>
                <c:pt idx="39">
                  <c:v>0.45332701566038747</c:v>
                </c:pt>
                <c:pt idx="40">
                  <c:v>0.45839335112942692</c:v>
                </c:pt>
                <c:pt idx="41">
                  <c:v>0.28794871077664208</c:v>
                </c:pt>
                <c:pt idx="42">
                  <c:v>-0.57943527856882948</c:v>
                </c:pt>
                <c:pt idx="43">
                  <c:v>-0.6</c:v>
                </c:pt>
                <c:pt idx="44">
                  <c:v>-0.6</c:v>
                </c:pt>
                <c:pt idx="45">
                  <c:v>-0.6</c:v>
                </c:pt>
                <c:pt idx="46">
                  <c:v>-0.6</c:v>
                </c:pt>
                <c:pt idx="47">
                  <c:v>-0.6</c:v>
                </c:pt>
                <c:pt idx="48">
                  <c:v>-0.5733946089227171</c:v>
                </c:pt>
                <c:pt idx="49">
                  <c:v>-0.58098727977005105</c:v>
                </c:pt>
                <c:pt idx="50">
                  <c:v>-0.57033236924597386</c:v>
                </c:pt>
                <c:pt idx="51">
                  <c:v>-0.56953712074033769</c:v>
                </c:pt>
                <c:pt idx="52">
                  <c:v>-0.57056152760039947</c:v>
                </c:pt>
                <c:pt idx="53">
                  <c:v>-0.56980619320539105</c:v>
                </c:pt>
                <c:pt idx="54">
                  <c:v>5.5124878739420957E-2</c:v>
                </c:pt>
                <c:pt idx="55">
                  <c:v>5.3038196191046438E-2</c:v>
                </c:pt>
                <c:pt idx="56">
                  <c:v>5.2307315329991333E-2</c:v>
                </c:pt>
                <c:pt idx="57">
                  <c:v>6.0488734943564548E-2</c:v>
                </c:pt>
                <c:pt idx="58">
                  <c:v>-6.3255390162519909E-2</c:v>
                </c:pt>
                <c:pt idx="59">
                  <c:v>0.12584630972898303</c:v>
                </c:pt>
                <c:pt idx="60" formatCode="0.0">
                  <c:v>0.15061955041055786</c:v>
                </c:pt>
                <c:pt idx="61" formatCode="0.0">
                  <c:v>0.1538970823339314</c:v>
                </c:pt>
                <c:pt idx="62" formatCode="0.0">
                  <c:v>0.11696066381416959</c:v>
                </c:pt>
                <c:pt idx="63" formatCode="0.0">
                  <c:v>0.11069249748212329</c:v>
                </c:pt>
                <c:pt idx="64" formatCode="0.0">
                  <c:v>0.10844835380341422</c:v>
                </c:pt>
                <c:pt idx="65" formatCode="0.0">
                  <c:v>0.10741092312749334</c:v>
                </c:pt>
                <c:pt idx="66" formatCode="0.0">
                  <c:v>0.11439307809111288</c:v>
                </c:pt>
                <c:pt idx="67" formatCode="0.0">
                  <c:v>0.11355181380807711</c:v>
                </c:pt>
                <c:pt idx="68" formatCode="0.0">
                  <c:v>0.11662503495490917</c:v>
                </c:pt>
                <c:pt idx="69" formatCode="0.0">
                  <c:v>0.11300252823733814</c:v>
                </c:pt>
                <c:pt idx="70" formatCode="0.0">
                  <c:v>0.11145052099761354</c:v>
                </c:pt>
                <c:pt idx="71" formatCode="0.0">
                  <c:v>0.11842732627773689</c:v>
                </c:pt>
                <c:pt idx="72" formatCode="0.0">
                  <c:v>0</c:v>
                </c:pt>
                <c:pt idx="73" formatCode="0.0">
                  <c:v>0</c:v>
                </c:pt>
              </c:numCache>
            </c:numRef>
          </c:val>
        </c:ser>
        <c:ser>
          <c:idx val="2"/>
          <c:order val="2"/>
          <c:tx>
            <c:strRef>
              <c:f>PCI!$N$1</c:f>
              <c:strCache>
                <c:ptCount val="1"/>
                <c:pt idx="0">
                  <c:v>importētā inflācija</c:v>
                </c:pt>
              </c:strCache>
            </c:strRef>
          </c:tx>
          <c:spPr>
            <a:solidFill>
              <a:schemeClr val="accent1">
                <a:lumMod val="75000"/>
              </a:schemeClr>
            </a:solidFill>
            <a:ln w="15875">
              <a:solidFill>
                <a:schemeClr val="accent1">
                  <a:lumMod val="75000"/>
                </a:schemeClr>
              </a:solidFill>
            </a:ln>
            <a:effectLst/>
          </c:spPr>
          <c:invertIfNegative val="0"/>
          <c:cat>
            <c:multiLvlStrRef>
              <c:f>PCI!$A$62:$B$135</c:f>
              <c:multiLvlStrCache>
                <c:ptCount val="74"/>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pt idx="60">
                    <c:v>I</c:v>
                  </c:pt>
                  <c:pt idx="61">
                    <c:v>II</c:v>
                  </c:pt>
                  <c:pt idx="62">
                    <c:v>III</c:v>
                  </c:pt>
                  <c:pt idx="63">
                    <c:v>IV</c:v>
                  </c:pt>
                  <c:pt idx="64">
                    <c:v>V</c:v>
                  </c:pt>
                  <c:pt idx="65">
                    <c:v>VI</c:v>
                  </c:pt>
                  <c:pt idx="66">
                    <c:v>VII</c:v>
                  </c:pt>
                  <c:pt idx="67">
                    <c:v>VIII</c:v>
                  </c:pt>
                  <c:pt idx="68">
                    <c:v>IX</c:v>
                  </c:pt>
                  <c:pt idx="69">
                    <c:v>X</c:v>
                  </c:pt>
                  <c:pt idx="70">
                    <c:v>XI</c:v>
                  </c:pt>
                  <c:pt idx="71">
                    <c:v>XII</c:v>
                  </c:pt>
                  <c:pt idx="72">
                    <c:v>I</c:v>
                  </c:pt>
                  <c:pt idx="73">
                    <c:v>II</c:v>
                  </c:pt>
                </c:lvl>
                <c:lvl>
                  <c:pt idx="0">
                    <c:v>2009</c:v>
                  </c:pt>
                  <c:pt idx="12">
                    <c:v>2010</c:v>
                  </c:pt>
                  <c:pt idx="24">
                    <c:v>2011</c:v>
                  </c:pt>
                  <c:pt idx="36">
                    <c:v>2012</c:v>
                  </c:pt>
                  <c:pt idx="48">
                    <c:v>2013</c:v>
                  </c:pt>
                  <c:pt idx="60">
                    <c:v>2014</c:v>
                  </c:pt>
                  <c:pt idx="72">
                    <c:v>2015</c:v>
                  </c:pt>
                </c:lvl>
              </c:multiLvlStrCache>
            </c:multiLvlStrRef>
          </c:cat>
          <c:val>
            <c:numRef>
              <c:f>PCI!$N$62:$N$135</c:f>
              <c:numCache>
                <c:formatCode>0.000</c:formatCode>
                <c:ptCount val="74"/>
                <c:pt idx="0">
                  <c:v>2.4420260006420738</c:v>
                </c:pt>
                <c:pt idx="1">
                  <c:v>2.28454878326753</c:v>
                </c:pt>
                <c:pt idx="2">
                  <c:v>1.5884804866502309</c:v>
                </c:pt>
                <c:pt idx="3">
                  <c:v>0.3289701738344224</c:v>
                </c:pt>
                <c:pt idx="4">
                  <c:v>-0.466582752399753</c:v>
                </c:pt>
                <c:pt idx="5">
                  <c:v>-1.1230311650476179</c:v>
                </c:pt>
                <c:pt idx="6">
                  <c:v>-1.9387011821017426</c:v>
                </c:pt>
                <c:pt idx="7">
                  <c:v>-1.8233545500535899</c:v>
                </c:pt>
                <c:pt idx="8">
                  <c:v>-2.0456012078671271</c:v>
                </c:pt>
                <c:pt idx="9">
                  <c:v>-2.9248566475173914</c:v>
                </c:pt>
                <c:pt idx="10">
                  <c:v>-2.6246914109288091</c:v>
                </c:pt>
                <c:pt idx="11">
                  <c:v>-2.399476582980939</c:v>
                </c:pt>
                <c:pt idx="12">
                  <c:v>-1.7594151303914809</c:v>
                </c:pt>
                <c:pt idx="13">
                  <c:v>-1.616645272564653</c:v>
                </c:pt>
                <c:pt idx="14">
                  <c:v>-1.1946275848517698</c:v>
                </c:pt>
                <c:pt idx="15">
                  <c:v>-0.17407782699617341</c:v>
                </c:pt>
                <c:pt idx="16">
                  <c:v>0.21959704869705407</c:v>
                </c:pt>
                <c:pt idx="17">
                  <c:v>0.77430010922467474</c:v>
                </c:pt>
                <c:pt idx="18">
                  <c:v>1.5626999476057835</c:v>
                </c:pt>
                <c:pt idx="19">
                  <c:v>1.7077453717771827</c:v>
                </c:pt>
                <c:pt idx="20">
                  <c:v>1.9443580828673703</c:v>
                </c:pt>
                <c:pt idx="21">
                  <c:v>1.955296744542304</c:v>
                </c:pt>
                <c:pt idx="22">
                  <c:v>2.2884369986946096</c:v>
                </c:pt>
                <c:pt idx="23">
                  <c:v>2.8650911646143258</c:v>
                </c:pt>
                <c:pt idx="24">
                  <c:v>2.8834528192088245</c:v>
                </c:pt>
                <c:pt idx="25">
                  <c:v>2.8625196696794273</c:v>
                </c:pt>
                <c:pt idx="26">
                  <c:v>2.7263831103723568</c:v>
                </c:pt>
                <c:pt idx="27">
                  <c:v>2.5093191528072625</c:v>
                </c:pt>
                <c:pt idx="28">
                  <c:v>2.5067314402860381</c:v>
                </c:pt>
                <c:pt idx="29">
                  <c:v>2.106677499666862</c:v>
                </c:pt>
                <c:pt idx="30">
                  <c:v>1.7344881688173326</c:v>
                </c:pt>
                <c:pt idx="31">
                  <c:v>1.7319405310242746</c:v>
                </c:pt>
                <c:pt idx="32">
                  <c:v>1.9810557804919338</c:v>
                </c:pt>
                <c:pt idx="33">
                  <c:v>2.1531286654410158</c:v>
                </c:pt>
                <c:pt idx="34">
                  <c:v>2.1658622140663866</c:v>
                </c:pt>
                <c:pt idx="35">
                  <c:v>1.3858537886143987</c:v>
                </c:pt>
                <c:pt idx="36">
                  <c:v>2.0288576077879736</c:v>
                </c:pt>
                <c:pt idx="37">
                  <c:v>2.190771258960976</c:v>
                </c:pt>
                <c:pt idx="38">
                  <c:v>2.1507213095365101</c:v>
                </c:pt>
                <c:pt idx="39">
                  <c:v>1.5591771703921111</c:v>
                </c:pt>
                <c:pt idx="40">
                  <c:v>1.2268187823701311</c:v>
                </c:pt>
                <c:pt idx="41">
                  <c:v>1.0872325222077743</c:v>
                </c:pt>
                <c:pt idx="42">
                  <c:v>1.3151668750902583</c:v>
                </c:pt>
                <c:pt idx="43">
                  <c:v>1.7879499999999999</c:v>
                </c:pt>
                <c:pt idx="44">
                  <c:v>1.9842835589837653</c:v>
                </c:pt>
                <c:pt idx="45">
                  <c:v>1.9673908456173221</c:v>
                </c:pt>
                <c:pt idx="46">
                  <c:v>1.6148</c:v>
                </c:pt>
                <c:pt idx="47">
                  <c:v>1.9099159152639635</c:v>
                </c:pt>
                <c:pt idx="48">
                  <c:v>1.024659784144454</c:v>
                </c:pt>
                <c:pt idx="49">
                  <c:v>0.52970734607789072</c:v>
                </c:pt>
                <c:pt idx="50">
                  <c:v>0.34981008018024096</c:v>
                </c:pt>
                <c:pt idx="51">
                  <c:v>4.6232772825890056E-2</c:v>
                </c:pt>
                <c:pt idx="52">
                  <c:v>0.34651212857662894</c:v>
                </c:pt>
                <c:pt idx="53">
                  <c:v>0.56644238223728949</c:v>
                </c:pt>
                <c:pt idx="54">
                  <c:v>0.33430344745057006</c:v>
                </c:pt>
                <c:pt idx="55">
                  <c:v>-0.24872504366326789</c:v>
                </c:pt>
                <c:pt idx="56">
                  <c:v>-0.58599540994250832</c:v>
                </c:pt>
                <c:pt idx="57">
                  <c:v>-0.66269111021102334</c:v>
                </c:pt>
                <c:pt idx="58">
                  <c:v>-0.47526678390652227</c:v>
                </c:pt>
                <c:pt idx="59">
                  <c:v>-0.57027653418009483</c:v>
                </c:pt>
                <c:pt idx="60">
                  <c:v>-0.23366748995491726</c:v>
                </c:pt>
                <c:pt idx="61">
                  <c:v>-0.2151209265364053</c:v>
                </c:pt>
                <c:pt idx="62">
                  <c:v>-0.29872233926318714</c:v>
                </c:pt>
                <c:pt idx="63">
                  <c:v>-0.16457475869102578</c:v>
                </c:pt>
                <c:pt idx="64">
                  <c:v>-0.30208692161739953</c:v>
                </c:pt>
                <c:pt idx="65">
                  <c:v>-0.41397643472438889</c:v>
                </c:pt>
                <c:pt idx="66">
                  <c:v>-0.36956776329889635</c:v>
                </c:pt>
                <c:pt idx="67">
                  <c:v>-0.35670516879911113</c:v>
                </c:pt>
                <c:pt idx="68">
                  <c:v>-9.5002728108940393E-2</c:v>
                </c:pt>
                <c:pt idx="69">
                  <c:v>-0.13218879370310122</c:v>
                </c:pt>
                <c:pt idx="70">
                  <c:v>-0.3473377674315668</c:v>
                </c:pt>
                <c:pt idx="71">
                  <c:v>-0.95183736095110616</c:v>
                </c:pt>
                <c:pt idx="72">
                  <c:v>-1.0543</c:v>
                </c:pt>
                <c:pt idx="73">
                  <c:v>-0.60889999999999989</c:v>
                </c:pt>
              </c:numCache>
            </c:numRef>
          </c:val>
        </c:ser>
        <c:dLbls>
          <c:showLegendKey val="0"/>
          <c:showVal val="0"/>
          <c:showCatName val="0"/>
          <c:showSerName val="0"/>
          <c:showPercent val="0"/>
          <c:showBubbleSize val="0"/>
        </c:dLbls>
        <c:gapWidth val="75"/>
        <c:overlap val="100"/>
        <c:axId val="76170368"/>
        <c:axId val="76171904"/>
      </c:barChart>
      <c:lineChart>
        <c:grouping val="standard"/>
        <c:varyColors val="0"/>
        <c:ser>
          <c:idx val="3"/>
          <c:order val="3"/>
          <c:tx>
            <c:strRef>
              <c:f>PCI!$C$1</c:f>
              <c:strCache>
                <c:ptCount val="1"/>
                <c:pt idx="0">
                  <c:v>PCI</c:v>
                </c:pt>
              </c:strCache>
            </c:strRef>
          </c:tx>
          <c:spPr>
            <a:ln w="28575" cap="rnd">
              <a:solidFill>
                <a:schemeClr val="tx1"/>
              </a:solidFill>
              <a:prstDash val="sysDot"/>
              <a:round/>
            </a:ln>
            <a:effectLst/>
          </c:spPr>
          <c:marker>
            <c:symbol val="none"/>
          </c:marker>
          <c:val>
            <c:numRef>
              <c:f>PCI!$C$62:$C$135</c:f>
              <c:numCache>
                <c:formatCode>#,##0.0</c:formatCode>
                <c:ptCount val="74"/>
                <c:pt idx="0">
                  <c:v>9.9147718116450783</c:v>
                </c:pt>
                <c:pt idx="1">
                  <c:v>9.6079846075953839</c:v>
                </c:pt>
                <c:pt idx="2">
                  <c:v>8.2622812460317867</c:v>
                </c:pt>
                <c:pt idx="3">
                  <c:v>6.2060533867254604</c:v>
                </c:pt>
                <c:pt idx="4">
                  <c:v>4.625006586260497</c:v>
                </c:pt>
                <c:pt idx="5">
                  <c:v>3.3311454782090544</c:v>
                </c:pt>
                <c:pt idx="6">
                  <c:v>2.4430968664703734</c:v>
                </c:pt>
                <c:pt idx="7">
                  <c:v>1.8027943664734321</c:v>
                </c:pt>
                <c:pt idx="8">
                  <c:v>0.48388736149209555</c:v>
                </c:pt>
                <c:pt idx="9">
                  <c:v>-0.84415365869416426</c:v>
                </c:pt>
                <c:pt idx="10">
                  <c:v>-1.157942484818129</c:v>
                </c:pt>
                <c:pt idx="11">
                  <c:v>-1.1713346118864327</c:v>
                </c:pt>
                <c:pt idx="12">
                  <c:v>-3.2652644125851396</c:v>
                </c:pt>
                <c:pt idx="13">
                  <c:v>-4.3427935384248038</c:v>
                </c:pt>
                <c:pt idx="14">
                  <c:v>-4.0910199957769446</c:v>
                </c:pt>
                <c:pt idx="15">
                  <c:v>-2.8821790884589702</c:v>
                </c:pt>
                <c:pt idx="16">
                  <c:v>-2.4136709810718275</c:v>
                </c:pt>
                <c:pt idx="17">
                  <c:v>-1.4296869082327257</c:v>
                </c:pt>
                <c:pt idx="18">
                  <c:v>-0.59819458594567743</c:v>
                </c:pt>
                <c:pt idx="19">
                  <c:v>-0.20504239725895745</c:v>
                </c:pt>
                <c:pt idx="20">
                  <c:v>0.54343293482890931</c:v>
                </c:pt>
                <c:pt idx="21">
                  <c:v>1.0713137395812873</c:v>
                </c:pt>
                <c:pt idx="22">
                  <c:v>1.9730443210060029</c:v>
                </c:pt>
                <c:pt idx="23">
                  <c:v>2.606881650183793</c:v>
                </c:pt>
                <c:pt idx="24">
                  <c:v>3.8816530541029008</c:v>
                </c:pt>
                <c:pt idx="25">
                  <c:v>4.2119186033107479</c:v>
                </c:pt>
                <c:pt idx="26">
                  <c:v>4.3974352396269722</c:v>
                </c:pt>
                <c:pt idx="27">
                  <c:v>4.5851223803658643</c:v>
                </c:pt>
                <c:pt idx="28">
                  <c:v>5.0421427387089004</c:v>
                </c:pt>
                <c:pt idx="29">
                  <c:v>4.7986810982784185</c:v>
                </c:pt>
                <c:pt idx="30">
                  <c:v>4.2930412483512592</c:v>
                </c:pt>
                <c:pt idx="31">
                  <c:v>4.6976258749322675</c:v>
                </c:pt>
                <c:pt idx="32">
                  <c:v>4.6584485562300788</c:v>
                </c:pt>
                <c:pt idx="33">
                  <c:v>4.4945330855200405</c:v>
                </c:pt>
                <c:pt idx="34">
                  <c:v>4.2398243699980824</c:v>
                </c:pt>
                <c:pt idx="35">
                  <c:v>4.0411253701371628</c:v>
                </c:pt>
                <c:pt idx="36">
                  <c:v>3.5892993121158892</c:v>
                </c:pt>
                <c:pt idx="37">
                  <c:v>3.417824153715662</c:v>
                </c:pt>
                <c:pt idx="38" formatCode="0.0">
                  <c:v>3.336677740937386</c:v>
                </c:pt>
                <c:pt idx="39" formatCode="0.0">
                  <c:v>2.7713257408891958</c:v>
                </c:pt>
                <c:pt idx="40" formatCode="0.0">
                  <c:v>2.1894929222148307</c:v>
                </c:pt>
                <c:pt idx="41" formatCode="0.0">
                  <c:v>1.9001961608319977</c:v>
                </c:pt>
                <c:pt idx="42" formatCode="0.0">
                  <c:v>1.6817785025538501</c:v>
                </c:pt>
                <c:pt idx="43" formatCode="General">
                  <c:v>1.7</c:v>
                </c:pt>
                <c:pt idx="44" formatCode="0.0">
                  <c:v>1.8231835589837653</c:v>
                </c:pt>
                <c:pt idx="45" formatCode="0.0">
                  <c:v>1.6041341443720825</c:v>
                </c:pt>
                <c:pt idx="46" formatCode="General">
                  <c:v>1.6</c:v>
                </c:pt>
                <c:pt idx="47" formatCode="0.0">
                  <c:v>1.5506380229365124</c:v>
                </c:pt>
                <c:pt idx="48" formatCode="0.0">
                  <c:v>0.6</c:v>
                </c:pt>
                <c:pt idx="49">
                  <c:v>0.3</c:v>
                </c:pt>
                <c:pt idx="50">
                  <c:v>0.22199560320571768</c:v>
                </c:pt>
                <c:pt idx="51">
                  <c:v>-0.4</c:v>
                </c:pt>
                <c:pt idx="52">
                  <c:v>-0.1</c:v>
                </c:pt>
                <c:pt idx="53" formatCode="0.0">
                  <c:v>0.1720516434733621</c:v>
                </c:pt>
                <c:pt idx="54" formatCode="0.0">
                  <c:v>0.33620143704890382</c:v>
                </c:pt>
                <c:pt idx="55" formatCode="0.0">
                  <c:v>-0.2248644236741961</c:v>
                </c:pt>
                <c:pt idx="56" formatCode="0.0">
                  <c:v>-0.38787523603590679</c:v>
                </c:pt>
                <c:pt idx="57" formatCode="0.0">
                  <c:v>-5.3379060563473191E-2</c:v>
                </c:pt>
                <c:pt idx="58" formatCode="0.0">
                  <c:v>-0.44395986432509815</c:v>
                </c:pt>
                <c:pt idx="59" formatCode="0.0">
                  <c:v>-0.39049824551700107</c:v>
                </c:pt>
                <c:pt idx="60" formatCode="0.0">
                  <c:v>0.399147946369942</c:v>
                </c:pt>
                <c:pt idx="61" formatCode="0.0">
                  <c:v>0.50961425396453508</c:v>
                </c:pt>
                <c:pt idx="62" formatCode="0.0">
                  <c:v>0.33754564058265113</c:v>
                </c:pt>
                <c:pt idx="63" formatCode="0.0">
                  <c:v>0.71995738251127661</c:v>
                </c:pt>
                <c:pt idx="64" formatCode="0.0">
                  <c:v>0.611870750962757</c:v>
                </c:pt>
                <c:pt idx="65" formatCode="0.0">
                  <c:v>0.67395878091451089</c:v>
                </c:pt>
                <c:pt idx="66" formatCode="0.0">
                  <c:v>0.61832009736540261</c:v>
                </c:pt>
                <c:pt idx="67" formatCode="0.0">
                  <c:v>0.83658672615727347</c:v>
                </c:pt>
                <c:pt idx="68" formatCode="0.0">
                  <c:v>1.0567296996662812</c:v>
                </c:pt>
                <c:pt idx="69" formatCode="0.0">
                  <c:v>0.66518847006651338</c:v>
                </c:pt>
                <c:pt idx="70" formatCode="0.0">
                  <c:v>0.89086859688196629</c:v>
                </c:pt>
                <c:pt idx="71" formatCode="0.0">
                  <c:v>0.16694490818029983</c:v>
                </c:pt>
                <c:pt idx="72" formatCode="0.0">
                  <c:v>-0.4</c:v>
                </c:pt>
                <c:pt idx="73" formatCode="0.0">
                  <c:v>-0.1</c:v>
                </c:pt>
              </c:numCache>
            </c:numRef>
          </c:val>
          <c:smooth val="0"/>
        </c:ser>
        <c:dLbls>
          <c:showLegendKey val="0"/>
          <c:showVal val="0"/>
          <c:showCatName val="0"/>
          <c:showSerName val="0"/>
          <c:showPercent val="0"/>
          <c:showBubbleSize val="0"/>
        </c:dLbls>
        <c:marker val="1"/>
        <c:smooth val="0"/>
        <c:axId val="76170368"/>
        <c:axId val="76171904"/>
      </c:lineChart>
      <c:catAx>
        <c:axId val="7617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76171904"/>
        <c:crossesAt val="-8"/>
        <c:auto val="1"/>
        <c:lblAlgn val="ctr"/>
        <c:lblOffset val="100"/>
        <c:noMultiLvlLbl val="0"/>
      </c:catAx>
      <c:valAx>
        <c:axId val="76171904"/>
        <c:scaling>
          <c:orientation val="minMax"/>
          <c:max val="12"/>
          <c:min val="-8"/>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vert="horz"/>
          <a:lstStyle/>
          <a:p>
            <a:pPr>
              <a:defRPr/>
            </a:pPr>
            <a:endParaRPr lang="lv-LV"/>
          </a:p>
        </c:txPr>
        <c:crossAx val="76170368"/>
        <c:crosses val="autoZero"/>
        <c:crossBetween val="between"/>
      </c:valAx>
      <c:spPr>
        <a:noFill/>
        <a:ln>
          <a:noFill/>
        </a:ln>
        <a:effectLst/>
      </c:spPr>
    </c:plotArea>
    <c:legend>
      <c:legendPos val="b"/>
      <c:overlay val="0"/>
      <c:spPr>
        <a:noFill/>
        <a:ln>
          <a:noFill/>
        </a:ln>
        <a:effectLst/>
      </c:spPr>
      <c:txPr>
        <a:bodyPr rot="0" vert="horz"/>
        <a:lstStyle/>
        <a:p>
          <a:pPr>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567147856517936E-2"/>
          <c:y val="5.0925925925925923E-2"/>
          <c:w val="0.90787729658792649"/>
          <c:h val="0.60377142330892852"/>
        </c:manualLayout>
      </c:layout>
      <c:barChart>
        <c:barDir val="col"/>
        <c:grouping val="stacked"/>
        <c:varyColors val="0"/>
        <c:ser>
          <c:idx val="0"/>
          <c:order val="0"/>
          <c:tx>
            <c:strRef>
              <c:f>Sheet1!$D$4</c:f>
              <c:strCache>
                <c:ptCount val="1"/>
                <c:pt idx="0">
                  <c:v>Darbaspēks</c:v>
                </c:pt>
              </c:strCache>
            </c:strRef>
          </c:tx>
          <c:spPr>
            <a:solidFill>
              <a:srgbClr val="C00000"/>
            </a:solidFill>
            <a:ln>
              <a:solidFill>
                <a:schemeClr val="tx1"/>
              </a:solidFill>
            </a:ln>
            <a:effectLst/>
          </c:spPr>
          <c:invertIfNegative val="0"/>
          <c:cat>
            <c:numRef>
              <c:f>Sheet1!$C$5:$C$16</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extLst/>
            </c:numRef>
          </c:cat>
          <c:val>
            <c:numRef>
              <c:f>Sheet1!$D$5:$D$16</c:f>
              <c:numCache>
                <c:formatCode>0.0</c:formatCode>
                <c:ptCount val="11"/>
                <c:pt idx="0">
                  <c:v>-1.1909469106313049</c:v>
                </c:pt>
                <c:pt idx="1">
                  <c:v>-3.0964028025156622</c:v>
                </c:pt>
                <c:pt idx="2">
                  <c:v>-3.1766826659771565</c:v>
                </c:pt>
                <c:pt idx="3">
                  <c:v>-1.8370823071055649</c:v>
                </c:pt>
                <c:pt idx="4">
                  <c:v>-0.32036751167237365</c:v>
                </c:pt>
                <c:pt idx="5">
                  <c:v>0.16321429013673505</c:v>
                </c:pt>
                <c:pt idx="6">
                  <c:v>2.0623110591463378E-2</c:v>
                </c:pt>
                <c:pt idx="7">
                  <c:v>0.10643284177907164</c:v>
                </c:pt>
                <c:pt idx="8">
                  <c:v>0.25968745140182214</c:v>
                </c:pt>
                <c:pt idx="9">
                  <c:v>0.33158339581770391</c:v>
                </c:pt>
                <c:pt idx="10">
                  <c:v>0.39970602461590787</c:v>
                </c:pt>
              </c:numCache>
              <c:extLst/>
            </c:numRef>
          </c:val>
        </c:ser>
        <c:ser>
          <c:idx val="1"/>
          <c:order val="1"/>
          <c:tx>
            <c:strRef>
              <c:f>Sheet1!$E$4</c:f>
              <c:strCache>
                <c:ptCount val="1"/>
                <c:pt idx="0">
                  <c:v>Kapitāls</c:v>
                </c:pt>
              </c:strCache>
            </c:strRef>
          </c:tx>
          <c:spPr>
            <a:solidFill>
              <a:schemeClr val="accent6">
                <a:lumMod val="60000"/>
                <a:lumOff val="40000"/>
              </a:schemeClr>
            </a:solidFill>
            <a:ln>
              <a:solidFill>
                <a:schemeClr val="tx1"/>
              </a:solidFill>
            </a:ln>
            <a:effectLst/>
          </c:spPr>
          <c:invertIfNegative val="0"/>
          <c:cat>
            <c:numRef>
              <c:f>Sheet1!$C$5:$C$16</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extLst/>
            </c:numRef>
          </c:cat>
          <c:val>
            <c:numRef>
              <c:f>Sheet1!$E$5:$E$16</c:f>
              <c:numCache>
                <c:formatCode>0.0</c:formatCode>
                <c:ptCount val="11"/>
                <c:pt idx="0">
                  <c:v>3.3530077280496351</c:v>
                </c:pt>
                <c:pt idx="1">
                  <c:v>1.356223263942844</c:v>
                </c:pt>
                <c:pt idx="2">
                  <c:v>0.64346383763986381</c:v>
                </c:pt>
                <c:pt idx="3">
                  <c:v>1.1683350814434157</c:v>
                </c:pt>
                <c:pt idx="4">
                  <c:v>1.4845551124953638</c:v>
                </c:pt>
                <c:pt idx="5">
                  <c:v>1.1905174848232647</c:v>
                </c:pt>
                <c:pt idx="6">
                  <c:v>1.1403411350318815</c:v>
                </c:pt>
                <c:pt idx="7">
                  <c:v>1.0071546781454099</c:v>
                </c:pt>
                <c:pt idx="8">
                  <c:v>1.0238356198535814</c:v>
                </c:pt>
                <c:pt idx="9">
                  <c:v>1.0554952802878736</c:v>
                </c:pt>
                <c:pt idx="10">
                  <c:v>1.0959181902468085</c:v>
                </c:pt>
              </c:numCache>
              <c:extLst/>
            </c:numRef>
          </c:val>
        </c:ser>
        <c:ser>
          <c:idx val="2"/>
          <c:order val="2"/>
          <c:tx>
            <c:strRef>
              <c:f>Sheet1!$F$4</c:f>
              <c:strCache>
                <c:ptCount val="1"/>
                <c:pt idx="0">
                  <c:v>Kopēja faktoru produktivitāte</c:v>
                </c:pt>
              </c:strCache>
            </c:strRef>
          </c:tx>
          <c:spPr>
            <a:solidFill>
              <a:schemeClr val="accent1">
                <a:lumMod val="75000"/>
              </a:schemeClr>
            </a:solidFill>
            <a:ln>
              <a:solidFill>
                <a:schemeClr val="tx1"/>
              </a:solidFill>
            </a:ln>
            <a:effectLst/>
          </c:spPr>
          <c:invertIfNegative val="0"/>
          <c:cat>
            <c:numRef>
              <c:f>Sheet1!$C$5:$C$16</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extLst/>
            </c:numRef>
          </c:cat>
          <c:val>
            <c:numRef>
              <c:f>Sheet1!$F$5:$F$16</c:f>
              <c:numCache>
                <c:formatCode>0.0</c:formatCode>
                <c:ptCount val="11"/>
                <c:pt idx="0">
                  <c:v>-7.1675997579843109E-3</c:v>
                </c:pt>
                <c:pt idx="1">
                  <c:v>-0.42444613919964735</c:v>
                </c:pt>
                <c:pt idx="2">
                  <c:v>-0.23672548051175496</c:v>
                </c:pt>
                <c:pt idx="3">
                  <c:v>0.23503067890260987</c:v>
                </c:pt>
                <c:pt idx="4">
                  <c:v>0.72613792476512118</c:v>
                </c:pt>
                <c:pt idx="5">
                  <c:v>1.1308010332134109</c:v>
                </c:pt>
                <c:pt idx="6">
                  <c:v>1.4323399044393466</c:v>
                </c:pt>
                <c:pt idx="7">
                  <c:v>1.6438160219972588</c:v>
                </c:pt>
                <c:pt idx="8">
                  <c:v>1.8063170061100413</c:v>
                </c:pt>
                <c:pt idx="9">
                  <c:v>1.9274172234900504</c:v>
                </c:pt>
                <c:pt idx="10">
                  <c:v>2.0153097810031437</c:v>
                </c:pt>
              </c:numCache>
              <c:extLst/>
            </c:numRef>
          </c:val>
        </c:ser>
        <c:dLbls>
          <c:showLegendKey val="0"/>
          <c:showVal val="0"/>
          <c:showCatName val="0"/>
          <c:showSerName val="0"/>
          <c:showPercent val="0"/>
          <c:showBubbleSize val="0"/>
        </c:dLbls>
        <c:gapWidth val="219"/>
        <c:overlap val="100"/>
        <c:axId val="76289152"/>
        <c:axId val="76290688"/>
      </c:barChart>
      <c:lineChart>
        <c:grouping val="standard"/>
        <c:varyColors val="0"/>
        <c:ser>
          <c:idx val="3"/>
          <c:order val="3"/>
          <c:tx>
            <c:strRef>
              <c:f>Sheet1!$G$4</c:f>
              <c:strCache>
                <c:ptCount val="1"/>
                <c:pt idx="0">
                  <c:v>Potenciālais IKP</c:v>
                </c:pt>
              </c:strCache>
            </c:strRef>
          </c:tx>
          <c:spPr>
            <a:ln w="19050" cap="rnd">
              <a:solidFill>
                <a:schemeClr val="tx1"/>
              </a:solidFill>
              <a:prstDash val="sysDash"/>
              <a:round/>
            </a:ln>
            <a:effectLst/>
          </c:spPr>
          <c:marker>
            <c:symbol val="none"/>
          </c:marker>
          <c:cat>
            <c:strLit>
              <c:ptCount val="11"/>
              <c:pt idx="0">
                <c:v>2008</c:v>
              </c:pt>
              <c:pt idx="1">
                <c:v>2009</c:v>
              </c:pt>
              <c:pt idx="2">
                <c:v>2010</c:v>
              </c:pt>
              <c:pt idx="3">
                <c:v>2011</c:v>
              </c:pt>
              <c:pt idx="4">
                <c:v>2012</c:v>
              </c:pt>
              <c:pt idx="5">
                <c:v>2013</c:v>
              </c:pt>
              <c:pt idx="6">
                <c:v>2014</c:v>
              </c:pt>
              <c:pt idx="7">
                <c:v>2015</c:v>
              </c:pt>
              <c:pt idx="8">
                <c:v>2016</c:v>
              </c:pt>
              <c:pt idx="9">
                <c:v>2017</c:v>
              </c:pt>
              <c:pt idx="10">
                <c:v>2018</c:v>
              </c:pt>
              <c:extLst>
                <c:ext xmlns:c15="http://schemas.microsoft.com/office/drawing/2012/chart" uri="{02D57815-91ED-43cb-92C2-25804820EDAC}">
                  <c15:autoCat val="1"/>
                </c:ext>
              </c:extLst>
            </c:strLit>
          </c:cat>
          <c:val>
            <c:numRef>
              <c:f>Sheet1!$G$5:$G$16</c:f>
              <c:numCache>
                <c:formatCode>0.0</c:formatCode>
                <c:ptCount val="11"/>
                <c:pt idx="0">
                  <c:v>2.1548932176603461</c:v>
                </c:pt>
                <c:pt idx="1">
                  <c:v>-2.1646256777724657</c:v>
                </c:pt>
                <c:pt idx="2">
                  <c:v>-2.7699443088490479</c:v>
                </c:pt>
                <c:pt idx="3">
                  <c:v>-0.4337165467595393</c:v>
                </c:pt>
                <c:pt idx="4">
                  <c:v>1.8903255255881113</c:v>
                </c:pt>
                <c:pt idx="5">
                  <c:v>2.4845328081734106</c:v>
                </c:pt>
                <c:pt idx="6">
                  <c:v>2.5933041500626914</c:v>
                </c:pt>
                <c:pt idx="7">
                  <c:v>2.7574035419217404</c:v>
                </c:pt>
                <c:pt idx="8">
                  <c:v>3.0898400773654449</c:v>
                </c:pt>
                <c:pt idx="9">
                  <c:v>3.3144958995956282</c:v>
                </c:pt>
                <c:pt idx="10">
                  <c:v>3.5109339958658601</c:v>
                </c:pt>
              </c:numCache>
              <c:extLst/>
            </c:numRef>
          </c:val>
          <c:smooth val="0"/>
        </c:ser>
        <c:dLbls>
          <c:showLegendKey val="0"/>
          <c:showVal val="0"/>
          <c:showCatName val="0"/>
          <c:showSerName val="0"/>
          <c:showPercent val="0"/>
          <c:showBubbleSize val="0"/>
        </c:dLbls>
        <c:marker val="1"/>
        <c:smooth val="0"/>
        <c:axId val="76289152"/>
        <c:axId val="76290688"/>
      </c:lineChart>
      <c:catAx>
        <c:axId val="762891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6290688"/>
        <c:crosses val="autoZero"/>
        <c:auto val="1"/>
        <c:lblAlgn val="ctr"/>
        <c:lblOffset val="100"/>
        <c:noMultiLvlLbl val="0"/>
      </c:catAx>
      <c:valAx>
        <c:axId val="76290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6289152"/>
        <c:crosses val="autoZero"/>
        <c:crossBetween val="between"/>
        <c:majorUnit val="1"/>
      </c:valAx>
      <c:spPr>
        <a:noFill/>
        <a:ln>
          <a:noFill/>
        </a:ln>
        <a:effectLst/>
      </c:spPr>
    </c:plotArea>
    <c:legend>
      <c:legendPos val="b"/>
      <c:layout>
        <c:manualLayout>
          <c:xMode val="edge"/>
          <c:yMode val="edge"/>
          <c:x val="6.9978555812712272E-3"/>
          <c:y val="0.77573812707373846"/>
          <c:w val="0.9693914457875864"/>
          <c:h val="0.180603971673352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18087251327969"/>
          <c:y val="6.7775723967960569E-2"/>
          <c:w val="0.86561451929197941"/>
          <c:h val="0.68031738638954786"/>
        </c:manualLayout>
      </c:layout>
      <c:lineChart>
        <c:grouping val="standard"/>
        <c:varyColors val="0"/>
        <c:ser>
          <c:idx val="0"/>
          <c:order val="0"/>
          <c:tx>
            <c:strRef>
              <c:f>Sheet1!$D$20</c:f>
              <c:strCache>
                <c:ptCount val="1"/>
                <c:pt idx="0">
                  <c:v>Izlaižu starpība, FM</c:v>
                </c:pt>
              </c:strCache>
            </c:strRef>
          </c:tx>
          <c:spPr>
            <a:ln w="28575" cap="rnd">
              <a:solidFill>
                <a:schemeClr val="accent1"/>
              </a:solidFill>
              <a:round/>
            </a:ln>
            <a:effectLst/>
          </c:spPr>
          <c:marker>
            <c:symbol val="none"/>
          </c:marker>
          <c:cat>
            <c:numRef>
              <c:f>Sheet1!$C$21:$C$30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Sheet1!$D$21:$D$30</c:f>
              <c:numCache>
                <c:formatCode>0.0</c:formatCode>
                <c:ptCount val="10"/>
                <c:pt idx="0">
                  <c:v>-8.6756909765602082</c:v>
                </c:pt>
                <c:pt idx="1">
                  <c:v>-8.7299004337204735</c:v>
                </c:pt>
                <c:pt idx="2">
                  <c:v>-3.7083480434471787</c:v>
                </c:pt>
                <c:pt idx="3">
                  <c:v>-0.90982974730858712</c:v>
                </c:pt>
                <c:pt idx="4">
                  <c:v>0.77021812387770883</c:v>
                </c:pt>
                <c:pt idx="5">
                  <c:v>0.53791616375172102</c:v>
                </c:pt>
                <c:pt idx="6">
                  <c:v>-0.13308041116954192</c:v>
                </c:pt>
                <c:pt idx="7">
                  <c:v>-0.25179781454345729</c:v>
                </c:pt>
                <c:pt idx="8">
                  <c:v>2.449312094292562E-3</c:v>
                </c:pt>
                <c:pt idx="9">
                  <c:v>3.3049118587590451E-2</c:v>
                </c:pt>
              </c:numCache>
            </c:numRef>
          </c:val>
          <c:smooth val="0"/>
        </c:ser>
        <c:ser>
          <c:idx val="1"/>
          <c:order val="1"/>
          <c:tx>
            <c:strRef>
              <c:f>Sheet1!$E$20</c:f>
              <c:strCache>
                <c:ptCount val="1"/>
                <c:pt idx="0">
                  <c:v>Izlaižu starpība, EK</c:v>
                </c:pt>
              </c:strCache>
            </c:strRef>
          </c:tx>
          <c:spPr>
            <a:ln w="28575" cap="rnd">
              <a:solidFill>
                <a:schemeClr val="accent2"/>
              </a:solidFill>
              <a:round/>
            </a:ln>
            <a:effectLst/>
          </c:spPr>
          <c:marker>
            <c:symbol val="none"/>
          </c:marker>
          <c:cat>
            <c:numRef>
              <c:f>Sheet1!$C$21:$C$30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Sheet1!$E$21:$E$30</c:f>
              <c:numCache>
                <c:formatCode>0.0</c:formatCode>
                <c:ptCount val="10"/>
                <c:pt idx="0">
                  <c:v>-10.850004999999999</c:v>
                </c:pt>
                <c:pt idx="1">
                  <c:v>-11.51702</c:v>
                </c:pt>
                <c:pt idx="2">
                  <c:v>-6.1923810000000001</c:v>
                </c:pt>
                <c:pt idx="3">
                  <c:v>-2.026805</c:v>
                </c:pt>
                <c:pt idx="4">
                  <c:v>0.54805300000000001</c:v>
                </c:pt>
                <c:pt idx="5">
                  <c:v>1.1224289999999999</c:v>
                </c:pt>
                <c:pt idx="6">
                  <c:v>1.4041159999999999</c:v>
                </c:pt>
                <c:pt idx="7">
                  <c:v>1.8024629999999999</c:v>
                </c:pt>
              </c:numCache>
            </c:numRef>
          </c:val>
          <c:smooth val="0"/>
        </c:ser>
        <c:dLbls>
          <c:showLegendKey val="0"/>
          <c:showVal val="0"/>
          <c:showCatName val="0"/>
          <c:showSerName val="0"/>
          <c:showPercent val="0"/>
          <c:showBubbleSize val="0"/>
        </c:dLbls>
        <c:marker val="1"/>
        <c:smooth val="0"/>
        <c:axId val="76320128"/>
        <c:axId val="76326016"/>
      </c:lineChart>
      <c:catAx>
        <c:axId val="763201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6326016"/>
        <c:crosses val="autoZero"/>
        <c:auto val="1"/>
        <c:lblAlgn val="ctr"/>
        <c:lblOffset val="100"/>
        <c:noMultiLvlLbl val="0"/>
      </c:catAx>
      <c:valAx>
        <c:axId val="76326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632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850182459586913E-2"/>
          <c:y val="6.1217445551909611E-2"/>
          <c:w val="0.68326212297233335"/>
          <c:h val="0.84846182733804099"/>
        </c:manualLayout>
      </c:layout>
      <c:barChart>
        <c:barDir val="col"/>
        <c:grouping val="clustered"/>
        <c:varyColors val="0"/>
        <c:ser>
          <c:idx val="3"/>
          <c:order val="0"/>
          <c:tx>
            <c:strRef>
              <c:f>Sheet1!$A$6</c:f>
              <c:strCache>
                <c:ptCount val="1"/>
                <c:pt idx="0">
                  <c:v>Vispārējās valdības ieņēmumi</c:v>
                </c:pt>
              </c:strCache>
            </c:strRef>
          </c:tx>
          <c:spPr>
            <a:solidFill>
              <a:srgbClr val="A5A5A5"/>
            </a:solidFill>
            <a:ln>
              <a:noFill/>
            </a:ln>
            <a:effectLst/>
          </c:spPr>
          <c:invertIfNegative val="0"/>
          <c:cat>
            <c:strRef>
              <c:f>Sheet1!$B$1:$I$1</c:f>
              <c:strCache>
                <c:ptCount val="8"/>
                <c:pt idx="0">
                  <c:v>2007</c:v>
                </c:pt>
                <c:pt idx="1">
                  <c:v>2008</c:v>
                </c:pt>
                <c:pt idx="2">
                  <c:v>2009</c:v>
                </c:pt>
                <c:pt idx="3">
                  <c:v>2010</c:v>
                </c:pt>
                <c:pt idx="4">
                  <c:v>2011</c:v>
                </c:pt>
                <c:pt idx="5">
                  <c:v>2012</c:v>
                </c:pt>
                <c:pt idx="6">
                  <c:v>2013</c:v>
                </c:pt>
                <c:pt idx="7">
                  <c:v>2014</c:v>
                </c:pt>
              </c:strCache>
            </c:strRef>
          </c:cat>
          <c:val>
            <c:numRef>
              <c:f>Sheet1!$B$6:$I$6</c:f>
              <c:numCache>
                <c:formatCode>0.0%</c:formatCode>
                <c:ptCount val="8"/>
                <c:pt idx="0">
                  <c:v>0.33289091153784189</c:v>
                </c:pt>
                <c:pt idx="1">
                  <c:v>0.32973889383729749</c:v>
                </c:pt>
                <c:pt idx="2">
                  <c:v>0.34534815259252699</c:v>
                </c:pt>
                <c:pt idx="3">
                  <c:v>0.36001807968470756</c:v>
                </c:pt>
                <c:pt idx="4">
                  <c:v>0.35494829933541294</c:v>
                </c:pt>
                <c:pt idx="5">
                  <c:v>0.35778904908799558</c:v>
                </c:pt>
                <c:pt idx="6">
                  <c:v>0.34837192726133992</c:v>
                </c:pt>
                <c:pt idx="7">
                  <c:v>0.34974727786942977</c:v>
                </c:pt>
              </c:numCache>
            </c:numRef>
          </c:val>
        </c:ser>
        <c:ser>
          <c:idx val="0"/>
          <c:order val="1"/>
          <c:tx>
            <c:strRef>
              <c:f>Sheet1!$A$7</c:f>
              <c:strCache>
                <c:ptCount val="1"/>
                <c:pt idx="0">
                  <c:v>Vispārējās valdības izdevumi</c:v>
                </c:pt>
              </c:strCache>
            </c:strRef>
          </c:tx>
          <c:spPr>
            <a:solidFill>
              <a:srgbClr val="ED7D31"/>
            </a:solidFill>
            <a:ln>
              <a:noFill/>
            </a:ln>
            <a:effectLst/>
          </c:spPr>
          <c:invertIfNegative val="0"/>
          <c:cat>
            <c:strRef>
              <c:f>Sheet1!$B$1:$I$1</c:f>
              <c:strCache>
                <c:ptCount val="8"/>
                <c:pt idx="0">
                  <c:v>2007</c:v>
                </c:pt>
                <c:pt idx="1">
                  <c:v>2008</c:v>
                </c:pt>
                <c:pt idx="2">
                  <c:v>2009</c:v>
                </c:pt>
                <c:pt idx="3">
                  <c:v>2010</c:v>
                </c:pt>
                <c:pt idx="4">
                  <c:v>2011</c:v>
                </c:pt>
                <c:pt idx="5">
                  <c:v>2012</c:v>
                </c:pt>
                <c:pt idx="6">
                  <c:v>2013</c:v>
                </c:pt>
                <c:pt idx="7">
                  <c:v>2014</c:v>
                </c:pt>
              </c:strCache>
            </c:strRef>
          </c:cat>
          <c:val>
            <c:numRef>
              <c:f>Sheet1!$B$7:$I$7</c:f>
              <c:numCache>
                <c:formatCode>0.0%</c:formatCode>
                <c:ptCount val="8"/>
                <c:pt idx="0">
                  <c:v>0.33895359287926907</c:v>
                </c:pt>
                <c:pt idx="1">
                  <c:v>0.36996559648114663</c:v>
                </c:pt>
                <c:pt idx="2">
                  <c:v>0.43421374377752647</c:v>
                </c:pt>
                <c:pt idx="3">
                  <c:v>0.44238138138171201</c:v>
                </c:pt>
                <c:pt idx="4">
                  <c:v>0.38923867065259232</c:v>
                </c:pt>
                <c:pt idx="5">
                  <c:v>0.36621776196745759</c:v>
                </c:pt>
                <c:pt idx="6">
                  <c:v>0.35696903703809607</c:v>
                </c:pt>
                <c:pt idx="7">
                  <c:v>0.36386977577334517</c:v>
                </c:pt>
              </c:numCache>
            </c:numRef>
          </c:val>
        </c:ser>
        <c:dLbls>
          <c:showLegendKey val="0"/>
          <c:showVal val="0"/>
          <c:showCatName val="0"/>
          <c:showSerName val="0"/>
          <c:showPercent val="0"/>
          <c:showBubbleSize val="0"/>
        </c:dLbls>
        <c:gapWidth val="150"/>
        <c:axId val="76225536"/>
        <c:axId val="76239616"/>
      </c:barChart>
      <c:lineChart>
        <c:grouping val="standard"/>
        <c:varyColors val="0"/>
        <c:ser>
          <c:idx val="1"/>
          <c:order val="2"/>
          <c:tx>
            <c:strRef>
              <c:f>Sheet1!$A$8</c:f>
              <c:strCache>
                <c:ptCount val="1"/>
                <c:pt idx="0">
                  <c:v>Vispārējās valdības budžeta bilance</c:v>
                </c:pt>
              </c:strCache>
            </c:strRef>
          </c:tx>
          <c:spPr>
            <a:ln w="28575" cap="rnd">
              <a:solidFill>
                <a:srgbClr val="5B9BD5">
                  <a:lumMod val="50000"/>
                </a:srgbClr>
              </a:solidFill>
              <a:round/>
            </a:ln>
            <a:effectLst/>
          </c:spPr>
          <c:marker>
            <c:symbol val="none"/>
          </c:marker>
          <c:cat>
            <c:strRef>
              <c:f>Sheet1!$B$1:$I$1</c:f>
              <c:strCache>
                <c:ptCount val="8"/>
                <c:pt idx="0">
                  <c:v>2007</c:v>
                </c:pt>
                <c:pt idx="1">
                  <c:v>2008</c:v>
                </c:pt>
                <c:pt idx="2">
                  <c:v>2009</c:v>
                </c:pt>
                <c:pt idx="3">
                  <c:v>2010</c:v>
                </c:pt>
                <c:pt idx="4">
                  <c:v>2011</c:v>
                </c:pt>
                <c:pt idx="5">
                  <c:v>2012</c:v>
                </c:pt>
                <c:pt idx="6">
                  <c:v>2013</c:v>
                </c:pt>
                <c:pt idx="7">
                  <c:v>2014</c:v>
                </c:pt>
              </c:strCache>
            </c:strRef>
          </c:cat>
          <c:val>
            <c:numRef>
              <c:f>Sheet1!$B$8:$I$8</c:f>
              <c:numCache>
                <c:formatCode>0.0%</c:formatCode>
                <c:ptCount val="8"/>
                <c:pt idx="0">
                  <c:v>-6.0626847515369668E-3</c:v>
                </c:pt>
                <c:pt idx="1">
                  <c:v>-4.0226703754744228E-2</c:v>
                </c:pt>
                <c:pt idx="2">
                  <c:v>-8.8865571491679687E-2</c:v>
                </c:pt>
                <c:pt idx="3">
                  <c:v>-8.2363308490571066E-2</c:v>
                </c:pt>
                <c:pt idx="4">
                  <c:v>-3.4290370094346261E-2</c:v>
                </c:pt>
                <c:pt idx="5">
                  <c:v>-8.4287211659865718E-3</c:v>
                </c:pt>
                <c:pt idx="6">
                  <c:v>-8.5970518074357741E-3</c:v>
                </c:pt>
                <c:pt idx="7">
                  <c:v>-1.4122497732663325E-2</c:v>
                </c:pt>
              </c:numCache>
            </c:numRef>
          </c:val>
          <c:smooth val="0"/>
        </c:ser>
        <c:dLbls>
          <c:showLegendKey val="0"/>
          <c:showVal val="0"/>
          <c:showCatName val="0"/>
          <c:showSerName val="0"/>
          <c:showPercent val="0"/>
          <c:showBubbleSize val="0"/>
        </c:dLbls>
        <c:marker val="1"/>
        <c:smooth val="0"/>
        <c:axId val="76225536"/>
        <c:axId val="76239616"/>
      </c:lineChart>
      <c:catAx>
        <c:axId val="762255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239616"/>
        <c:crossesAt val="0"/>
        <c:auto val="1"/>
        <c:lblAlgn val="ctr"/>
        <c:lblOffset val="100"/>
        <c:noMultiLvlLbl val="0"/>
      </c:catAx>
      <c:valAx>
        <c:axId val="76239616"/>
        <c:scaling>
          <c:orientation val="minMax"/>
          <c:max val="0.5"/>
          <c:min val="-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225536"/>
        <c:crosses val="autoZero"/>
        <c:crossBetween val="between"/>
        <c:majorUnit val="0.1"/>
      </c:valAx>
      <c:spPr>
        <a:noFill/>
        <a:ln>
          <a:noFill/>
        </a:ln>
        <a:effectLst/>
      </c:spPr>
    </c:plotArea>
    <c:legend>
      <c:legendPos val="b"/>
      <c:layout>
        <c:manualLayout>
          <c:xMode val="edge"/>
          <c:yMode val="edge"/>
          <c:x val="0.76206918807280244"/>
          <c:y val="0.15888684360115657"/>
          <c:w val="0.23568650230196636"/>
          <c:h val="0.5857052856665004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681871006414214E-2"/>
          <c:y val="2.9943190434529022E-2"/>
          <c:w val="0.62572613431089108"/>
          <c:h val="0.87130890673841654"/>
        </c:manualLayout>
      </c:layout>
      <c:barChart>
        <c:barDir val="col"/>
        <c:grouping val="stacked"/>
        <c:varyColors val="0"/>
        <c:ser>
          <c:idx val="1"/>
          <c:order val="1"/>
          <c:tx>
            <c:strRef>
              <c:f>Sheet1!$A$3</c:f>
              <c:strCache>
                <c:ptCount val="1"/>
                <c:pt idx="0">
                  <c:v>Centrālā valdība</c:v>
                </c:pt>
              </c:strCache>
            </c:strRef>
          </c:tx>
          <c:spPr>
            <a:solidFill>
              <a:schemeClr val="accent2"/>
            </a:solidFill>
            <a:ln>
              <a:noFill/>
            </a:ln>
            <a:effectLst/>
          </c:spPr>
          <c:invertIfNegative val="0"/>
          <c:cat>
            <c:strRef>
              <c:f>Sheet1!$B$1:$I$1</c:f>
              <c:strCache>
                <c:ptCount val="8"/>
                <c:pt idx="0">
                  <c:v>2007</c:v>
                </c:pt>
                <c:pt idx="1">
                  <c:v>2008</c:v>
                </c:pt>
                <c:pt idx="2">
                  <c:v>2009</c:v>
                </c:pt>
                <c:pt idx="3">
                  <c:v>2010</c:v>
                </c:pt>
                <c:pt idx="4">
                  <c:v>2011</c:v>
                </c:pt>
                <c:pt idx="5">
                  <c:v>2012</c:v>
                </c:pt>
                <c:pt idx="6">
                  <c:v>2013</c:v>
                </c:pt>
                <c:pt idx="7">
                  <c:v>2014</c:v>
                </c:pt>
              </c:strCache>
            </c:strRef>
          </c:cat>
          <c:val>
            <c:numRef>
              <c:f>Sheet1!$B$3:$I$3</c:f>
              <c:numCache>
                <c:formatCode>#,##0.0</c:formatCode>
                <c:ptCount val="8"/>
                <c:pt idx="0">
                  <c:v>-525.54207685215215</c:v>
                </c:pt>
                <c:pt idx="1">
                  <c:v>-1020.9720271053283</c:v>
                </c:pt>
                <c:pt idx="2">
                  <c:v>-1024.9466279220574</c:v>
                </c:pt>
                <c:pt idx="3">
                  <c:v>-983.30812341360252</c:v>
                </c:pt>
                <c:pt idx="4">
                  <c:v>-395.28697517964548</c:v>
                </c:pt>
                <c:pt idx="5">
                  <c:v>-72.889182659745728</c:v>
                </c:pt>
                <c:pt idx="6">
                  <c:v>-16.925653843745813</c:v>
                </c:pt>
                <c:pt idx="7">
                  <c:v>-410.05202223316326</c:v>
                </c:pt>
              </c:numCache>
            </c:numRef>
          </c:val>
        </c:ser>
        <c:ser>
          <c:idx val="2"/>
          <c:order val="2"/>
          <c:tx>
            <c:strRef>
              <c:f>Sheet1!$A$4</c:f>
              <c:strCache>
                <c:ptCount val="1"/>
                <c:pt idx="0">
                  <c:v>Vietējā valdība</c:v>
                </c:pt>
              </c:strCache>
            </c:strRef>
          </c:tx>
          <c:spPr>
            <a:solidFill>
              <a:schemeClr val="accent3"/>
            </a:solidFill>
            <a:ln>
              <a:noFill/>
            </a:ln>
            <a:effectLst/>
          </c:spPr>
          <c:invertIfNegative val="0"/>
          <c:cat>
            <c:strRef>
              <c:f>Sheet1!$B$1:$I$1</c:f>
              <c:strCache>
                <c:ptCount val="8"/>
                <c:pt idx="0">
                  <c:v>2007</c:v>
                </c:pt>
                <c:pt idx="1">
                  <c:v>2008</c:v>
                </c:pt>
                <c:pt idx="2">
                  <c:v>2009</c:v>
                </c:pt>
                <c:pt idx="3">
                  <c:v>2010</c:v>
                </c:pt>
                <c:pt idx="4">
                  <c:v>2011</c:v>
                </c:pt>
                <c:pt idx="5">
                  <c:v>2012</c:v>
                </c:pt>
                <c:pt idx="6">
                  <c:v>2013</c:v>
                </c:pt>
                <c:pt idx="7">
                  <c:v>2014</c:v>
                </c:pt>
              </c:strCache>
            </c:strRef>
          </c:cat>
          <c:val>
            <c:numRef>
              <c:f>Sheet1!$B$4:$I$4</c:f>
              <c:numCache>
                <c:formatCode>#,##0.0</c:formatCode>
                <c:ptCount val="8"/>
                <c:pt idx="0">
                  <c:v>-145.17099999999999</c:v>
                </c:pt>
                <c:pt idx="1">
                  <c:v>-283.637</c:v>
                </c:pt>
                <c:pt idx="2">
                  <c:v>-319.08500000000004</c:v>
                </c:pt>
                <c:pt idx="3">
                  <c:v>-59.878000000000014</c:v>
                </c:pt>
                <c:pt idx="4">
                  <c:v>-117.768</c:v>
                </c:pt>
                <c:pt idx="5">
                  <c:v>-66.536000000000001</c:v>
                </c:pt>
                <c:pt idx="6">
                  <c:v>-100.22199999999999</c:v>
                </c:pt>
                <c:pt idx="7">
                  <c:v>-30.048859803422438</c:v>
                </c:pt>
              </c:numCache>
            </c:numRef>
          </c:val>
        </c:ser>
        <c:ser>
          <c:idx val="3"/>
          <c:order val="3"/>
          <c:tx>
            <c:strRef>
              <c:f>Sheet1!$A$5</c:f>
              <c:strCache>
                <c:ptCount val="1"/>
                <c:pt idx="0">
                  <c:v>Sociālās nodrošināšanas fondi</c:v>
                </c:pt>
              </c:strCache>
            </c:strRef>
          </c:tx>
          <c:spPr>
            <a:solidFill>
              <a:schemeClr val="accent4"/>
            </a:solidFill>
            <a:ln>
              <a:noFill/>
            </a:ln>
            <a:effectLst/>
          </c:spPr>
          <c:invertIfNegative val="0"/>
          <c:cat>
            <c:strRef>
              <c:f>Sheet1!$B$1:$I$1</c:f>
              <c:strCache>
                <c:ptCount val="8"/>
                <c:pt idx="0">
                  <c:v>2007</c:v>
                </c:pt>
                <c:pt idx="1">
                  <c:v>2008</c:v>
                </c:pt>
                <c:pt idx="2">
                  <c:v>2009</c:v>
                </c:pt>
                <c:pt idx="3">
                  <c:v>2010</c:v>
                </c:pt>
                <c:pt idx="4">
                  <c:v>2011</c:v>
                </c:pt>
                <c:pt idx="5">
                  <c:v>2012</c:v>
                </c:pt>
                <c:pt idx="6">
                  <c:v>2013</c:v>
                </c:pt>
                <c:pt idx="7">
                  <c:v>2014</c:v>
                </c:pt>
              </c:strCache>
            </c:strRef>
          </c:cat>
          <c:val>
            <c:numRef>
              <c:f>Sheet1!$B$5:$I$5</c:f>
              <c:numCache>
                <c:formatCode>#,##0.0</c:formatCode>
                <c:ptCount val="8"/>
                <c:pt idx="0">
                  <c:v>534.0809999999999</c:v>
                </c:pt>
                <c:pt idx="1">
                  <c:v>323.096</c:v>
                </c:pt>
                <c:pt idx="2">
                  <c:v>-334.96</c:v>
                </c:pt>
                <c:pt idx="3">
                  <c:v>-453.04599999999999</c:v>
                </c:pt>
                <c:pt idx="4">
                  <c:v>-182.95099999999999</c:v>
                </c:pt>
                <c:pt idx="5">
                  <c:v>-46.368999999999993</c:v>
                </c:pt>
                <c:pt idx="6">
                  <c:v>-82.492000000000004</c:v>
                </c:pt>
                <c:pt idx="7">
                  <c:v>100.34041933439819</c:v>
                </c:pt>
              </c:numCache>
            </c:numRef>
          </c:val>
        </c:ser>
        <c:dLbls>
          <c:showLegendKey val="0"/>
          <c:showVal val="0"/>
          <c:showCatName val="0"/>
          <c:showSerName val="0"/>
          <c:showPercent val="0"/>
          <c:showBubbleSize val="0"/>
        </c:dLbls>
        <c:gapWidth val="150"/>
        <c:overlap val="100"/>
        <c:axId val="79649408"/>
        <c:axId val="79651200"/>
      </c:barChart>
      <c:lineChart>
        <c:grouping val="standard"/>
        <c:varyColors val="0"/>
        <c:ser>
          <c:idx val="0"/>
          <c:order val="0"/>
          <c:tx>
            <c:strRef>
              <c:f>Sheet1!$A$2</c:f>
              <c:strCache>
                <c:ptCount val="1"/>
                <c:pt idx="0">
                  <c:v>Vispārējās valdības budžeta bilance</c:v>
                </c:pt>
              </c:strCache>
            </c:strRef>
          </c:tx>
          <c:spPr>
            <a:ln w="28575" cap="rnd">
              <a:solidFill>
                <a:srgbClr val="5B9BD5">
                  <a:lumMod val="50000"/>
                </a:srgbClr>
              </a:solidFill>
              <a:round/>
            </a:ln>
            <a:effectLst/>
          </c:spPr>
          <c:marker>
            <c:symbol val="none"/>
          </c:marker>
          <c:cat>
            <c:strRef>
              <c:f>Sheet1!$B$1:$I$1</c:f>
              <c:strCache>
                <c:ptCount val="8"/>
                <c:pt idx="0">
                  <c:v>2007</c:v>
                </c:pt>
                <c:pt idx="1">
                  <c:v>2008</c:v>
                </c:pt>
                <c:pt idx="2">
                  <c:v>2009</c:v>
                </c:pt>
                <c:pt idx="3">
                  <c:v>2010</c:v>
                </c:pt>
                <c:pt idx="4">
                  <c:v>2011</c:v>
                </c:pt>
                <c:pt idx="5">
                  <c:v>2012</c:v>
                </c:pt>
                <c:pt idx="6">
                  <c:v>2013</c:v>
                </c:pt>
                <c:pt idx="7">
                  <c:v>2014</c:v>
                </c:pt>
              </c:strCache>
            </c:strRef>
          </c:cat>
          <c:val>
            <c:numRef>
              <c:f>Sheet1!$B$2:$I$2</c:f>
              <c:numCache>
                <c:formatCode>#,##0.0</c:formatCode>
                <c:ptCount val="8"/>
                <c:pt idx="0">
                  <c:v>-136.63207685215218</c:v>
                </c:pt>
                <c:pt idx="1">
                  <c:v>-981.51302710532821</c:v>
                </c:pt>
                <c:pt idx="2">
                  <c:v>-1678.9916279220574</c:v>
                </c:pt>
                <c:pt idx="3">
                  <c:v>-1496.2321234136025</c:v>
                </c:pt>
                <c:pt idx="4">
                  <c:v>-696.00597517964547</c:v>
                </c:pt>
                <c:pt idx="5">
                  <c:v>-185.7941826597457</c:v>
                </c:pt>
                <c:pt idx="6">
                  <c:v>-199.6396538437458</c:v>
                </c:pt>
                <c:pt idx="7">
                  <c:v>-339.76046270218751</c:v>
                </c:pt>
              </c:numCache>
            </c:numRef>
          </c:val>
          <c:smooth val="0"/>
        </c:ser>
        <c:dLbls>
          <c:showLegendKey val="0"/>
          <c:showVal val="0"/>
          <c:showCatName val="0"/>
          <c:showSerName val="0"/>
          <c:showPercent val="0"/>
          <c:showBubbleSize val="0"/>
        </c:dLbls>
        <c:marker val="1"/>
        <c:smooth val="0"/>
        <c:axId val="79649408"/>
        <c:axId val="79651200"/>
      </c:lineChart>
      <c:catAx>
        <c:axId val="796494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9651200"/>
        <c:crossesAt val="0"/>
        <c:auto val="1"/>
        <c:lblAlgn val="ctr"/>
        <c:lblOffset val="100"/>
        <c:noMultiLvlLbl val="0"/>
      </c:catAx>
      <c:valAx>
        <c:axId val="79651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9649408"/>
        <c:crosses val="autoZero"/>
        <c:crossBetween val="between"/>
      </c:valAx>
      <c:spPr>
        <a:noFill/>
        <a:ln>
          <a:noFill/>
        </a:ln>
        <a:effectLst/>
      </c:spPr>
    </c:plotArea>
    <c:legend>
      <c:legendPos val="b"/>
      <c:layout>
        <c:manualLayout>
          <c:xMode val="edge"/>
          <c:yMode val="edge"/>
          <c:x val="0.71465561885033657"/>
          <c:y val="0.13864479879713526"/>
          <c:w val="0.2656664777337841"/>
          <c:h val="0.6905009298460806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sz="1400">
                <a:latin typeface="Times New Roman" panose="02020603050405020304" pitchFamily="18" charset="0"/>
                <a:cs typeface="Times New Roman" panose="02020603050405020304" pitchFamily="18" charset="0"/>
              </a:rPr>
              <a:t>Valsts aizsardzības finansēšana</a:t>
            </a:r>
          </a:p>
        </c:rich>
      </c:tx>
      <c:overlay val="0"/>
      <c:spPr>
        <a:noFill/>
        <a:ln>
          <a:noFill/>
        </a:ln>
        <a:effectLst/>
      </c:spPr>
    </c:title>
    <c:autoTitleDeleted val="0"/>
    <c:plotArea>
      <c:layout>
        <c:manualLayout>
          <c:layoutTarget val="inner"/>
          <c:xMode val="edge"/>
          <c:yMode val="edge"/>
          <c:x val="8.1372703412073477E-2"/>
          <c:y val="0.17171296296296296"/>
          <c:w val="0.88807174103237096"/>
          <c:h val="0.53917359288422284"/>
        </c:manualLayout>
      </c:layout>
      <c:lineChart>
        <c:grouping val="standard"/>
        <c:varyColors val="0"/>
        <c:ser>
          <c:idx val="0"/>
          <c:order val="0"/>
          <c:tx>
            <c:strRef>
              <c:f>Sheet1!$A$3</c:f>
              <c:strCache>
                <c:ptCount val="1"/>
                <c:pt idx="0">
                  <c:v>Ģeopolitiskā riska faktors</c:v>
                </c:pt>
              </c:strCache>
            </c:strRef>
          </c:tx>
          <c:spPr>
            <a:ln w="28575" cap="rnd">
              <a:solidFill>
                <a:schemeClr val="accent5">
                  <a:lumMod val="75000"/>
                </a:schemeClr>
              </a:solidFill>
              <a:round/>
            </a:ln>
            <a:effectLst/>
          </c:spPr>
          <c:marker>
            <c:symbol val="squar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cat>
            <c:numRef>
              <c:f>Sheet1!$B$2:$I$2</c:f>
              <c:numCache>
                <c:formatCode>General</c:formatCode>
                <c:ptCount val="8"/>
                <c:pt idx="0">
                  <c:v>2015</c:v>
                </c:pt>
                <c:pt idx="1">
                  <c:v>2016</c:v>
                </c:pt>
                <c:pt idx="2">
                  <c:v>2017</c:v>
                </c:pt>
                <c:pt idx="3">
                  <c:v>2018</c:v>
                </c:pt>
                <c:pt idx="4">
                  <c:v>2019</c:v>
                </c:pt>
                <c:pt idx="5">
                  <c:v>2020</c:v>
                </c:pt>
                <c:pt idx="6">
                  <c:v>2021</c:v>
                </c:pt>
                <c:pt idx="7">
                  <c:v>2022</c:v>
                </c:pt>
              </c:numCache>
            </c:numRef>
          </c:cat>
          <c:val>
            <c:numRef>
              <c:f>Sheet1!$B$3:$I$3</c:f>
              <c:numCache>
                <c:formatCode>0.00</c:formatCode>
                <c:ptCount val="8"/>
                <c:pt idx="0">
                  <c:v>1</c:v>
                </c:pt>
                <c:pt idx="1">
                  <c:v>1.4</c:v>
                </c:pt>
                <c:pt idx="2">
                  <c:v>1.7</c:v>
                </c:pt>
                <c:pt idx="3">
                  <c:v>2</c:v>
                </c:pt>
                <c:pt idx="4">
                  <c:v>2</c:v>
                </c:pt>
                <c:pt idx="5">
                  <c:v>2</c:v>
                </c:pt>
                <c:pt idx="6">
                  <c:v>2</c:v>
                </c:pt>
                <c:pt idx="7">
                  <c:v>2</c:v>
                </c:pt>
              </c:numCache>
            </c:numRef>
          </c:val>
          <c:smooth val="0"/>
        </c:ser>
        <c:ser>
          <c:idx val="1"/>
          <c:order val="1"/>
          <c:tx>
            <c:strRef>
              <c:f>Sheet1!$A$4</c:f>
              <c:strCache>
                <c:ptCount val="1"/>
                <c:pt idx="0">
                  <c:v>atbilstoši Valsts aizsardzības finansēšanas likumam</c:v>
                </c:pt>
              </c:strCache>
            </c:strRef>
          </c:tx>
          <c:spPr>
            <a:ln w="28575" cap="rnd">
              <a:solidFill>
                <a:schemeClr val="bg2">
                  <a:lumMod val="50000"/>
                </a:schemeClr>
              </a:solidFill>
              <a:round/>
            </a:ln>
            <a:effectLst/>
          </c:spPr>
          <c:marker>
            <c:symbol val="diamond"/>
            <c:size val="7"/>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700">
                <a:solidFill>
                  <a:schemeClr val="lt2"/>
                </a:solidFill>
                <a:round/>
              </a:ln>
              <a:effectLst/>
            </c:spPr>
          </c:marker>
          <c:cat>
            <c:numRef>
              <c:f>Sheet1!$B$2:$I$2</c:f>
              <c:numCache>
                <c:formatCode>General</c:formatCode>
                <c:ptCount val="8"/>
                <c:pt idx="0">
                  <c:v>2015</c:v>
                </c:pt>
                <c:pt idx="1">
                  <c:v>2016</c:v>
                </c:pt>
                <c:pt idx="2">
                  <c:v>2017</c:v>
                </c:pt>
                <c:pt idx="3">
                  <c:v>2018</c:v>
                </c:pt>
                <c:pt idx="4">
                  <c:v>2019</c:v>
                </c:pt>
                <c:pt idx="5">
                  <c:v>2020</c:v>
                </c:pt>
                <c:pt idx="6">
                  <c:v>2021</c:v>
                </c:pt>
                <c:pt idx="7">
                  <c:v>2022</c:v>
                </c:pt>
              </c:numCache>
            </c:numRef>
          </c:cat>
          <c:val>
            <c:numRef>
              <c:f>Sheet1!$B$4:$I$4</c:f>
              <c:numCache>
                <c:formatCode>0.00</c:formatCode>
                <c:ptCount val="8"/>
                <c:pt idx="0">
                  <c:v>1</c:v>
                </c:pt>
                <c:pt idx="1">
                  <c:v>1.1000000000000001</c:v>
                </c:pt>
                <c:pt idx="2">
                  <c:v>1.3</c:v>
                </c:pt>
                <c:pt idx="3">
                  <c:v>1.5</c:v>
                </c:pt>
                <c:pt idx="4">
                  <c:v>1.75</c:v>
                </c:pt>
                <c:pt idx="5">
                  <c:v>2</c:v>
                </c:pt>
                <c:pt idx="6">
                  <c:v>2</c:v>
                </c:pt>
                <c:pt idx="7">
                  <c:v>2</c:v>
                </c:pt>
              </c:numCache>
            </c:numRef>
          </c:val>
          <c:smooth val="0"/>
        </c:ser>
        <c:dLbls>
          <c:showLegendKey val="0"/>
          <c:showVal val="0"/>
          <c:showCatName val="0"/>
          <c:showSerName val="0"/>
          <c:showPercent val="0"/>
          <c:showBubbleSize val="0"/>
        </c:dLbls>
        <c:marker val="1"/>
        <c:smooth val="0"/>
        <c:axId val="79692160"/>
        <c:axId val="79693696"/>
      </c:lineChart>
      <c:catAx>
        <c:axId val="7969216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Garamond" panose="02020404030301010803" pitchFamily="18" charset="0"/>
                <a:ea typeface="+mn-ea"/>
                <a:cs typeface="+mn-cs"/>
              </a:defRPr>
            </a:pPr>
            <a:endParaRPr lang="lv-LV"/>
          </a:p>
        </c:txPr>
        <c:crossAx val="79693696"/>
        <c:crosses val="autoZero"/>
        <c:auto val="1"/>
        <c:lblAlgn val="ctr"/>
        <c:lblOffset val="100"/>
        <c:noMultiLvlLbl val="0"/>
      </c:catAx>
      <c:valAx>
        <c:axId val="79693696"/>
        <c:scaling>
          <c:orientation val="minMax"/>
          <c:min val="1"/>
        </c:scaling>
        <c:delete val="0"/>
        <c:axPos val="l"/>
        <c:majorGridlines>
          <c:spPr>
            <a:ln w="9525" cap="flat" cmpd="sng" algn="ctr">
              <a:solidFill>
                <a:schemeClr val="tx2">
                  <a:lumMod val="15000"/>
                  <a:lumOff val="85000"/>
                </a:schemeClr>
              </a:solidFill>
              <a:round/>
            </a:ln>
            <a:effectLst/>
          </c:spPr>
        </c:majorGridlines>
        <c:title>
          <c:tx>
            <c:rich>
              <a:bodyPr rot="0" spcFirstLastPara="1" vertOverflow="ellipsis"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 no IKP</a:t>
                </a:r>
              </a:p>
            </c:rich>
          </c:tx>
          <c:layout>
            <c:manualLayout>
              <c:xMode val="edge"/>
              <c:yMode val="edge"/>
              <c:x val="1.6666666666666666E-2"/>
              <c:y val="7.5084208223972035E-2"/>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692160"/>
        <c:crosses val="autoZero"/>
        <c:crossBetween val="between"/>
      </c:valAx>
      <c:spPr>
        <a:noFill/>
        <a:ln>
          <a:noFill/>
        </a:ln>
        <a:effectLst/>
      </c:spPr>
    </c:plotArea>
    <c:legend>
      <c:legendPos val="b"/>
      <c:layout>
        <c:manualLayout>
          <c:xMode val="edge"/>
          <c:yMode val="edge"/>
          <c:x val="4.9999934578750391E-2"/>
          <c:y val="0.83720253718285209"/>
          <c:w val="0.93046440800529306"/>
          <c:h val="0.134842519685039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latin typeface="Garamond" panose="02020404030301010803" pitchFamily="18" charset="0"/>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7.8713770894034654E-2"/>
          <c:y val="0.19240539182745742"/>
          <c:w val="0.89559951881014888"/>
          <c:h val="0.68060150749485948"/>
        </c:manualLayout>
      </c:layout>
      <c:lineChart>
        <c:grouping val="standard"/>
        <c:varyColors val="0"/>
        <c:ser>
          <c:idx val="0"/>
          <c:order val="0"/>
          <c:tx>
            <c:strRef>
              <c:f>Sheet1!$A$5</c:f>
              <c:strCache>
                <c:ptCount val="1"/>
                <c:pt idx="0">
                  <c:v>Vienreizējais (one-off) pasākums</c:v>
                </c:pt>
              </c:strCache>
            </c:strRef>
          </c:tx>
          <c:spPr>
            <a:ln w="28575" cap="rnd">
              <a:solidFill>
                <a:schemeClr val="accent5">
                  <a:lumMod val="75000"/>
                </a:schemeClr>
              </a:solidFill>
              <a:round/>
            </a:ln>
            <a:effectLst/>
          </c:spPr>
          <c:marker>
            <c:symbol val="square"/>
            <c:size val="5"/>
            <c:spPr>
              <a:solidFill>
                <a:schemeClr val="accent1"/>
              </a:solidFill>
              <a:ln w="9525">
                <a:solidFill>
                  <a:schemeClr val="accent1"/>
                </a:solidFill>
              </a:ln>
              <a:effectLst/>
            </c:spPr>
          </c:marker>
          <c:cat>
            <c:numRef>
              <c:f>Sheet1!$B$2:$I$2</c:f>
              <c:numCache>
                <c:formatCode>General</c:formatCode>
                <c:ptCount val="8"/>
                <c:pt idx="0">
                  <c:v>2015</c:v>
                </c:pt>
                <c:pt idx="1">
                  <c:v>2016</c:v>
                </c:pt>
                <c:pt idx="2">
                  <c:v>2017</c:v>
                </c:pt>
                <c:pt idx="3">
                  <c:v>2018</c:v>
                </c:pt>
                <c:pt idx="4">
                  <c:v>2019</c:v>
                </c:pt>
                <c:pt idx="5">
                  <c:v>2020</c:v>
                </c:pt>
                <c:pt idx="6">
                  <c:v>2021</c:v>
                </c:pt>
                <c:pt idx="7">
                  <c:v>2022</c:v>
                </c:pt>
              </c:numCache>
            </c:numRef>
          </c:cat>
          <c:val>
            <c:numRef>
              <c:f>Sheet1!$B$5:$I$5</c:f>
              <c:numCache>
                <c:formatCode>0.00</c:formatCode>
                <c:ptCount val="8"/>
                <c:pt idx="0">
                  <c:v>0</c:v>
                </c:pt>
                <c:pt idx="1">
                  <c:v>0.29999999999999982</c:v>
                </c:pt>
                <c:pt idx="2">
                  <c:v>0.39999999999999991</c:v>
                </c:pt>
                <c:pt idx="3">
                  <c:v>0.5</c:v>
                </c:pt>
                <c:pt idx="4">
                  <c:v>0.25</c:v>
                </c:pt>
                <c:pt idx="5">
                  <c:v>0</c:v>
                </c:pt>
                <c:pt idx="6">
                  <c:v>0</c:v>
                </c:pt>
                <c:pt idx="7">
                  <c:v>0</c:v>
                </c:pt>
              </c:numCache>
            </c:numRef>
          </c:val>
          <c:smooth val="0"/>
        </c:ser>
        <c:dLbls>
          <c:showLegendKey val="0"/>
          <c:showVal val="0"/>
          <c:showCatName val="0"/>
          <c:showSerName val="0"/>
          <c:showPercent val="0"/>
          <c:showBubbleSize val="0"/>
        </c:dLbls>
        <c:marker val="1"/>
        <c:smooth val="0"/>
        <c:axId val="79710080"/>
        <c:axId val="79724544"/>
      </c:lineChart>
      <c:catAx>
        <c:axId val="7971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724544"/>
        <c:crosses val="autoZero"/>
        <c:auto val="1"/>
        <c:lblAlgn val="ctr"/>
        <c:lblOffset val="100"/>
        <c:noMultiLvlLbl val="0"/>
      </c:catAx>
      <c:valAx>
        <c:axId val="79724544"/>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sz="900" b="1">
                    <a:latin typeface="Times New Roman" panose="02020603050405020304" pitchFamily="18" charset="0"/>
                    <a:cs typeface="Times New Roman" panose="02020603050405020304" pitchFamily="18" charset="0"/>
                  </a:rPr>
                  <a:t>% no IKP</a:t>
                </a:r>
              </a:p>
            </c:rich>
          </c:tx>
          <c:layout>
            <c:manualLayout>
              <c:xMode val="edge"/>
              <c:yMode val="edge"/>
              <c:x val="5.5555555555555558E-3"/>
              <c:y val="0.10226004091453379"/>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9710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solidFill>
            <a:schemeClr val="tx1"/>
          </a:solidFill>
          <a:latin typeface="Garamond" panose="02020404030301010803" pitchFamily="18" charset="0"/>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5C46E4-82B0-4B91-8859-8442DCF1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133149</Words>
  <Characters>75895</Characters>
  <Application>Microsoft Office Word</Application>
  <DocSecurity>0</DocSecurity>
  <Lines>632</Lines>
  <Paragraphs>417</Paragraphs>
  <ScaleCrop>false</ScaleCrop>
  <HeadingPairs>
    <vt:vector size="2" baseType="variant">
      <vt:variant>
        <vt:lpstr>Title</vt:lpstr>
      </vt:variant>
      <vt:variant>
        <vt:i4>1</vt:i4>
      </vt:variant>
    </vt:vector>
  </HeadingPairs>
  <TitlesOfParts>
    <vt:vector size="1" baseType="lpstr">
      <vt:lpstr>Latvijas Stabilitātes programma              2015.-2018.gadam</vt:lpstr>
    </vt:vector>
  </TitlesOfParts>
  <Company>Saeima</Company>
  <LinksUpToDate>false</LinksUpToDate>
  <CharactersWithSpaces>208627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Stabilitātes programma              2015.-2018.gadam</dc:title>
  <dc:creator>Gerda Rubīna</dc:creator>
  <dc:description>Gerda Rubīna, gerda.rubina@fm.gov.lv
67083911</dc:description>
  <cp:lastModifiedBy>Solvirta Gailisa</cp:lastModifiedBy>
  <cp:revision>2</cp:revision>
  <cp:lastPrinted>2015-04-10T07:10:00Z</cp:lastPrinted>
  <dcterms:created xsi:type="dcterms:W3CDTF">2015-04-10T12:30:00Z</dcterms:created>
  <dcterms:modified xsi:type="dcterms:W3CDTF">2015-04-10T12:30:00Z</dcterms:modified>
</cp:coreProperties>
</file>